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C9C4C26">
      <w:pPr>
        <w:pStyle w:val="18"/>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sz w:val="48"/>
          <w:szCs w:val="48"/>
          <w:lang w:val="en-US" w:eastAsia="zh-CN"/>
        </w:rPr>
      </w:pPr>
      <w:bookmarkStart w:id="0" w:name="_Toc22953395"/>
      <w:bookmarkEnd w:id="0"/>
      <w:bookmarkStart w:id="1" w:name="_Toc22804073"/>
      <w:bookmarkEnd w:id="1"/>
    </w:p>
    <w:p w14:paraId="5AADC6B2">
      <w:pPr>
        <w:pStyle w:val="18"/>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cs="宋体"/>
          <w:b/>
          <w:bCs/>
          <w:sz w:val="44"/>
          <w:szCs w:val="44"/>
          <w:lang w:val="en-US" w:eastAsia="zh-CN"/>
        </w:rPr>
      </w:pPr>
      <w:r>
        <w:rPr>
          <w:rFonts w:hint="eastAsia" w:cs="宋体"/>
          <w:b/>
          <w:bCs/>
          <w:sz w:val="44"/>
          <w:szCs w:val="44"/>
          <w:lang w:val="en-US" w:eastAsia="zh-CN"/>
        </w:rPr>
        <w:t>驻马店市中心医院妇儿院区新生儿科等科室UPS电源更换电池组项目</w:t>
      </w:r>
    </w:p>
    <w:p w14:paraId="51CA5DBD">
      <w:pPr>
        <w:pStyle w:val="18"/>
        <w:bidi w:val="0"/>
        <w:jc w:val="center"/>
        <w:rPr>
          <w:rStyle w:val="43"/>
          <w:rFonts w:hint="eastAsia" w:ascii="宋体" w:hAnsi="宋体" w:eastAsia="宋体" w:cs="宋体"/>
          <w:b/>
          <w:bCs/>
          <w:color w:val="auto"/>
          <w:sz w:val="48"/>
          <w:szCs w:val="48"/>
        </w:rPr>
      </w:pPr>
    </w:p>
    <w:p w14:paraId="28F54BB0">
      <w:pPr>
        <w:pStyle w:val="18"/>
        <w:bidi w:val="0"/>
        <w:jc w:val="center"/>
        <w:rPr>
          <w:rStyle w:val="43"/>
          <w:rFonts w:hint="eastAsia" w:ascii="宋体" w:hAnsi="宋体" w:eastAsia="宋体" w:cs="宋体"/>
          <w:b/>
          <w:bCs/>
          <w:color w:val="auto"/>
          <w:sz w:val="48"/>
          <w:szCs w:val="48"/>
        </w:rPr>
      </w:pPr>
    </w:p>
    <w:p w14:paraId="1C540DEE">
      <w:pPr>
        <w:pStyle w:val="18"/>
        <w:bidi w:val="0"/>
        <w:jc w:val="center"/>
        <w:rPr>
          <w:rStyle w:val="43"/>
          <w:rFonts w:hint="eastAsia" w:ascii="宋体" w:hAnsi="宋体" w:eastAsia="宋体" w:cs="宋体"/>
          <w:b/>
          <w:bCs/>
          <w:color w:val="auto"/>
          <w:sz w:val="48"/>
          <w:szCs w:val="48"/>
        </w:rPr>
      </w:pPr>
    </w:p>
    <w:p w14:paraId="57AA684A">
      <w:pPr>
        <w:pStyle w:val="18"/>
        <w:bidi w:val="0"/>
        <w:jc w:val="center"/>
        <w:rPr>
          <w:rStyle w:val="43"/>
          <w:rFonts w:hint="eastAsia" w:ascii="宋体" w:hAnsi="宋体" w:eastAsia="宋体" w:cs="宋体"/>
          <w:b/>
          <w:bCs/>
          <w:color w:val="auto"/>
          <w:sz w:val="48"/>
          <w:szCs w:val="48"/>
        </w:rPr>
      </w:pPr>
    </w:p>
    <w:p w14:paraId="03DE6287">
      <w:pPr>
        <w:pStyle w:val="18"/>
        <w:bidi w:val="0"/>
        <w:jc w:val="center"/>
        <w:rPr>
          <w:rStyle w:val="43"/>
          <w:rFonts w:hint="eastAsia" w:ascii="宋体" w:hAnsi="宋体" w:eastAsia="宋体" w:cs="宋体"/>
          <w:b/>
          <w:bCs/>
          <w:color w:val="auto"/>
          <w:szCs w:val="44"/>
        </w:rPr>
      </w:pPr>
      <w:r>
        <w:rPr>
          <w:rStyle w:val="43"/>
          <w:rFonts w:hint="eastAsia" w:cs="宋体"/>
          <w:b/>
          <w:bCs/>
          <w:color w:val="auto"/>
          <w:sz w:val="72"/>
          <w:szCs w:val="72"/>
          <w:lang w:val="en-US" w:eastAsia="zh-CN"/>
        </w:rPr>
        <w:t>采购</w:t>
      </w:r>
      <w:r>
        <w:rPr>
          <w:rStyle w:val="43"/>
          <w:rFonts w:hint="eastAsia" w:ascii="宋体" w:hAnsi="宋体" w:eastAsia="宋体" w:cs="宋体"/>
          <w:b/>
          <w:bCs/>
          <w:color w:val="auto"/>
          <w:sz w:val="72"/>
          <w:szCs w:val="72"/>
        </w:rPr>
        <w:t>文件</w:t>
      </w:r>
    </w:p>
    <w:p w14:paraId="13945BFC">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spacing w:val="-10"/>
          <w:sz w:val="34"/>
          <w:szCs w:val="34"/>
          <w:lang w:val="en-US" w:eastAsia="zh-CN"/>
        </w:rPr>
      </w:pPr>
    </w:p>
    <w:p w14:paraId="1733712A">
      <w:pPr>
        <w:snapToGrid w:val="0"/>
        <w:spacing w:line="380" w:lineRule="exact"/>
        <w:jc w:val="center"/>
        <w:rPr>
          <w:rFonts w:hint="eastAsia" w:ascii="宋体" w:hAnsi="宋体" w:eastAsia="宋体" w:cs="宋体"/>
          <w:b/>
          <w:sz w:val="32"/>
          <w:szCs w:val="32"/>
        </w:rPr>
      </w:pPr>
    </w:p>
    <w:p w14:paraId="48DC37ED">
      <w:pPr>
        <w:pStyle w:val="30"/>
        <w:rPr>
          <w:rFonts w:hint="eastAsia"/>
        </w:rPr>
      </w:pPr>
    </w:p>
    <w:p w14:paraId="5E81F7DF">
      <w:pPr>
        <w:pStyle w:val="58"/>
        <w:rPr>
          <w:rFonts w:hint="eastAsia" w:ascii="宋体" w:hAnsi="宋体" w:eastAsia="宋体" w:cs="宋体"/>
          <w:bCs/>
          <w:sz w:val="2"/>
          <w:szCs w:val="2"/>
        </w:rPr>
      </w:pPr>
    </w:p>
    <w:p w14:paraId="5BD853FE">
      <w:pPr>
        <w:rPr>
          <w:rFonts w:hint="eastAsia" w:ascii="宋体" w:hAnsi="宋体" w:eastAsia="宋体" w:cs="宋体"/>
          <w:bCs/>
          <w:sz w:val="2"/>
          <w:szCs w:val="2"/>
        </w:rPr>
      </w:pPr>
    </w:p>
    <w:p w14:paraId="4D114FB6">
      <w:pPr>
        <w:spacing w:line="20" w:lineRule="exact"/>
        <w:rPr>
          <w:rFonts w:hint="eastAsia" w:ascii="宋体" w:hAnsi="宋体" w:eastAsia="宋体" w:cs="宋体"/>
          <w:bCs/>
          <w:sz w:val="2"/>
          <w:szCs w:val="2"/>
        </w:rPr>
      </w:pPr>
    </w:p>
    <w:p w14:paraId="2C393FA2">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14:paraId="44424F17">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14:paraId="1299380C">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10"/>
          <w:sz w:val="34"/>
          <w:szCs w:val="34"/>
          <w:lang w:val="en-US" w:eastAsia="zh-CN"/>
        </w:rPr>
      </w:pPr>
    </w:p>
    <w:p w14:paraId="37E46200">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80"/>
          <w:sz w:val="34"/>
          <w:szCs w:val="34"/>
        </w:rPr>
      </w:pPr>
      <w:r>
        <w:rPr>
          <w:rFonts w:hint="eastAsia" w:ascii="宋体" w:hAnsi="宋体" w:eastAsia="宋体" w:cs="宋体"/>
          <w:b/>
          <w:bCs/>
          <w:spacing w:val="-10"/>
          <w:sz w:val="34"/>
          <w:szCs w:val="34"/>
          <w:lang w:val="en-US" w:eastAsia="zh-CN"/>
        </w:rPr>
        <w:t>采 购</w:t>
      </w:r>
      <w:r>
        <w:rPr>
          <w:rFonts w:hint="eastAsia" w:ascii="宋体" w:hAnsi="宋体" w:eastAsia="宋体" w:cs="宋体"/>
          <w:b/>
          <w:bCs/>
          <w:spacing w:val="-10"/>
          <w:sz w:val="34"/>
          <w:szCs w:val="34"/>
        </w:rPr>
        <w:t xml:space="preserve"> 人：驻马店市中心医院</w:t>
      </w:r>
    </w:p>
    <w:p w14:paraId="111B9BA9">
      <w:pPr>
        <w:tabs>
          <w:tab w:val="left" w:pos="2505"/>
          <w:tab w:val="center" w:pos="4535"/>
        </w:tabs>
        <w:snapToGrid w:val="0"/>
        <w:spacing w:line="480" w:lineRule="auto"/>
        <w:jc w:val="center"/>
        <w:rPr>
          <w:rFonts w:hint="eastAsia" w:ascii="宋体" w:hAnsi="宋体" w:eastAsia="宋体" w:cs="宋体"/>
          <w:b/>
          <w:sz w:val="36"/>
          <w:szCs w:val="36"/>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spacing w:val="40"/>
          <w:sz w:val="34"/>
          <w:szCs w:val="34"/>
          <w:lang w:val="en-US" w:eastAsia="zh-CN"/>
        </w:rPr>
        <w:t>202</w:t>
      </w:r>
      <w:r>
        <w:rPr>
          <w:rFonts w:hint="eastAsia" w:ascii="宋体" w:hAnsi="宋体" w:cs="宋体"/>
          <w:b/>
          <w:bCs/>
          <w:spacing w:val="40"/>
          <w:sz w:val="34"/>
          <w:szCs w:val="34"/>
          <w:lang w:val="en-US" w:eastAsia="zh-CN"/>
        </w:rPr>
        <w:t>4</w:t>
      </w:r>
      <w:r>
        <w:rPr>
          <w:rFonts w:hint="eastAsia" w:ascii="宋体" w:hAnsi="宋体" w:eastAsia="宋体" w:cs="宋体"/>
          <w:b/>
          <w:bCs/>
          <w:color w:val="000000" w:themeColor="text1"/>
          <w:spacing w:val="40"/>
          <w:sz w:val="34"/>
          <w:szCs w:val="34"/>
          <w14:textFill>
            <w14:solidFill>
              <w14:schemeClr w14:val="tx1"/>
            </w14:solidFill>
          </w14:textFill>
        </w:rPr>
        <w:t>年</w:t>
      </w:r>
      <w:r>
        <w:rPr>
          <w:rFonts w:hint="eastAsia" w:ascii="宋体" w:hAnsi="宋体" w:cs="宋体"/>
          <w:b/>
          <w:bCs/>
          <w:color w:val="000000" w:themeColor="text1"/>
          <w:spacing w:val="40"/>
          <w:sz w:val="34"/>
          <w:szCs w:val="34"/>
          <w:lang w:val="en-US" w:eastAsia="zh-CN"/>
          <w14:textFill>
            <w14:solidFill>
              <w14:schemeClr w14:val="tx1"/>
            </w14:solidFill>
          </w14:textFill>
        </w:rPr>
        <w:t>8</w:t>
      </w:r>
      <w:r>
        <w:rPr>
          <w:rFonts w:hint="eastAsia" w:ascii="宋体" w:hAnsi="宋体" w:eastAsia="宋体" w:cs="宋体"/>
          <w:b/>
          <w:bCs/>
          <w:color w:val="000000" w:themeColor="text1"/>
          <w:spacing w:val="40"/>
          <w:sz w:val="34"/>
          <w:szCs w:val="34"/>
          <w14:textFill>
            <w14:solidFill>
              <w14:schemeClr w14:val="tx1"/>
            </w14:solidFill>
          </w14:textFill>
        </w:rPr>
        <w:t>月</w:t>
      </w:r>
    </w:p>
    <w:p w14:paraId="6891B943">
      <w:pPr>
        <w:rPr>
          <w:rFonts w:ascii="宋体" w:hAnsi="宋体"/>
          <w:bCs/>
          <w:color w:val="auto"/>
          <w:sz w:val="24"/>
          <w:highlight w:val="none"/>
        </w:rPr>
      </w:pPr>
    </w:p>
    <w:p w14:paraId="019726CF">
      <w:pPr>
        <w:jc w:val="center"/>
        <w:rPr>
          <w:rFonts w:ascii="宋体" w:hAnsi="宋体" w:cs="宋体"/>
          <w:b/>
          <w:bCs/>
          <w:color w:val="auto"/>
          <w:sz w:val="36"/>
          <w:szCs w:val="36"/>
          <w:highlight w:val="none"/>
        </w:rPr>
      </w:pPr>
      <w:r>
        <w:rPr>
          <w:rFonts w:hint="eastAsia" w:ascii="宋体" w:hAnsi="宋体" w:cs="宋体"/>
          <w:b/>
          <w:bCs/>
          <w:color w:val="auto"/>
          <w:sz w:val="36"/>
          <w:szCs w:val="36"/>
          <w:highlight w:val="none"/>
        </w:rPr>
        <w:t>目录</w:t>
      </w:r>
    </w:p>
    <w:p w14:paraId="5EB332BB">
      <w:pPr>
        <w:pStyle w:val="52"/>
        <w:rPr>
          <w:color w:val="auto"/>
          <w:highlight w:val="none"/>
        </w:rPr>
      </w:pPr>
    </w:p>
    <w:p w14:paraId="401EF9DF">
      <w:pPr>
        <w:pStyle w:val="24"/>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
          <w:bCs/>
          <w:color w:val="auto"/>
          <w:sz w:val="32"/>
          <w:szCs w:val="32"/>
          <w:highlight w:val="none"/>
        </w:rPr>
        <w:fldChar w:fldCharType="begin"/>
      </w:r>
      <w:r>
        <w:rPr>
          <w:rFonts w:hint="eastAsia" w:ascii="宋体" w:hAnsi="宋体" w:cs="宋体"/>
          <w:b/>
          <w:bCs/>
          <w:color w:val="auto"/>
          <w:sz w:val="32"/>
          <w:szCs w:val="32"/>
          <w:highlight w:val="none"/>
        </w:rPr>
        <w:instrText xml:space="preserve">TOC \o "1-1" \h \u </w:instrText>
      </w:r>
      <w:r>
        <w:rPr>
          <w:rFonts w:hint="eastAsia" w:ascii="宋体" w:hAnsi="宋体" w:cs="宋体"/>
          <w:b/>
          <w:bCs/>
          <w:color w:val="auto"/>
          <w:sz w:val="32"/>
          <w:szCs w:val="32"/>
          <w:highlight w:val="none"/>
        </w:rPr>
        <w:fldChar w:fldCharType="separate"/>
      </w: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_Toc22821 </w:instrText>
      </w:r>
      <w:r>
        <w:rPr>
          <w:rFonts w:hint="eastAsia" w:ascii="宋体" w:hAnsi="宋体" w:cs="宋体"/>
          <w:bCs/>
          <w:szCs w:val="32"/>
          <w:highlight w:val="none"/>
        </w:rPr>
        <w:fldChar w:fldCharType="separate"/>
      </w:r>
      <w:r>
        <w:rPr>
          <w:rFonts w:hint="eastAsia" w:ascii="宋体" w:hAnsi="宋体"/>
          <w:szCs w:val="32"/>
          <w:highlight w:val="none"/>
        </w:rPr>
        <w:t xml:space="preserve">第一章  </w:t>
      </w:r>
      <w:r>
        <w:rPr>
          <w:rFonts w:hint="eastAsia" w:ascii="宋体" w:hAnsi="宋体"/>
          <w:szCs w:val="32"/>
          <w:highlight w:val="none"/>
          <w:lang w:val="en-US" w:eastAsia="zh-CN"/>
        </w:rPr>
        <w:t>竞争性磋商采购</w:t>
      </w:r>
      <w:r>
        <w:rPr>
          <w:rFonts w:hint="eastAsia" w:ascii="宋体" w:hAnsi="宋体"/>
          <w:szCs w:val="32"/>
          <w:highlight w:val="none"/>
        </w:rPr>
        <w:t>公告</w:t>
      </w:r>
      <w:r>
        <w:tab/>
      </w:r>
      <w:r>
        <w:fldChar w:fldCharType="begin"/>
      </w:r>
      <w:r>
        <w:instrText xml:space="preserve"> PAGEREF _Toc22821 \h </w:instrText>
      </w:r>
      <w:r>
        <w:fldChar w:fldCharType="separate"/>
      </w:r>
      <w:r>
        <w:t>2</w:t>
      </w:r>
      <w:r>
        <w:fldChar w:fldCharType="end"/>
      </w:r>
      <w:r>
        <w:rPr>
          <w:rFonts w:hint="eastAsia" w:ascii="宋体" w:hAnsi="宋体" w:cs="宋体"/>
          <w:bCs/>
          <w:color w:val="auto"/>
          <w:szCs w:val="32"/>
          <w:highlight w:val="none"/>
        </w:rPr>
        <w:fldChar w:fldCharType="end"/>
      </w:r>
    </w:p>
    <w:p w14:paraId="5C605397">
      <w:pPr>
        <w:pStyle w:val="24"/>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_Toc17552 </w:instrText>
      </w:r>
      <w:r>
        <w:rPr>
          <w:rFonts w:hint="eastAsia" w:ascii="宋体" w:hAnsi="宋体" w:cs="宋体"/>
          <w:bCs/>
          <w:szCs w:val="32"/>
          <w:highlight w:val="none"/>
        </w:rPr>
        <w:fldChar w:fldCharType="separate"/>
      </w:r>
      <w:r>
        <w:rPr>
          <w:rFonts w:hint="eastAsia" w:ascii="宋体" w:hAnsi="宋体"/>
          <w:szCs w:val="32"/>
          <w:highlight w:val="none"/>
        </w:rPr>
        <w:t xml:space="preserve">第二章  </w:t>
      </w:r>
      <w:r>
        <w:rPr>
          <w:rFonts w:hint="eastAsia" w:ascii="宋体" w:hAnsi="宋体"/>
          <w:szCs w:val="32"/>
          <w:highlight w:val="none"/>
          <w:lang w:eastAsia="zh-CN"/>
        </w:rPr>
        <w:t>采购</w:t>
      </w:r>
      <w:r>
        <w:rPr>
          <w:rFonts w:hint="eastAsia" w:ascii="宋体" w:hAnsi="宋体"/>
          <w:szCs w:val="32"/>
          <w:highlight w:val="none"/>
        </w:rPr>
        <w:t>需求</w:t>
      </w:r>
      <w:r>
        <w:tab/>
      </w:r>
      <w:r>
        <w:fldChar w:fldCharType="begin"/>
      </w:r>
      <w:r>
        <w:instrText xml:space="preserve"> PAGEREF _Toc17552 \h </w:instrText>
      </w:r>
      <w:r>
        <w:fldChar w:fldCharType="separate"/>
      </w:r>
      <w:r>
        <w:t>4</w:t>
      </w:r>
      <w:r>
        <w:fldChar w:fldCharType="end"/>
      </w:r>
      <w:r>
        <w:rPr>
          <w:rFonts w:hint="eastAsia" w:ascii="宋体" w:hAnsi="宋体" w:cs="宋体"/>
          <w:bCs/>
          <w:color w:val="auto"/>
          <w:szCs w:val="32"/>
          <w:highlight w:val="none"/>
        </w:rPr>
        <w:fldChar w:fldCharType="end"/>
      </w:r>
    </w:p>
    <w:p w14:paraId="335AF273">
      <w:pPr>
        <w:pStyle w:val="24"/>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_Toc16791 </w:instrText>
      </w:r>
      <w:r>
        <w:rPr>
          <w:rFonts w:hint="eastAsia" w:ascii="宋体" w:hAnsi="宋体" w:cs="宋体"/>
          <w:bCs/>
          <w:szCs w:val="32"/>
          <w:highlight w:val="none"/>
        </w:rPr>
        <w:fldChar w:fldCharType="separate"/>
      </w:r>
      <w:r>
        <w:rPr>
          <w:rFonts w:hint="eastAsia"/>
          <w:bCs/>
          <w:szCs w:val="32"/>
          <w:highlight w:val="none"/>
        </w:rPr>
        <w:t xml:space="preserve">第三章  </w:t>
      </w:r>
      <w:r>
        <w:rPr>
          <w:rFonts w:hint="eastAsia"/>
          <w:bCs/>
          <w:szCs w:val="32"/>
          <w:highlight w:val="none"/>
          <w:lang w:eastAsia="zh-CN"/>
        </w:rPr>
        <w:t>供应商</w:t>
      </w:r>
      <w:r>
        <w:rPr>
          <w:rFonts w:hint="eastAsia"/>
          <w:bCs/>
          <w:szCs w:val="32"/>
          <w:highlight w:val="none"/>
        </w:rPr>
        <w:t>须知</w:t>
      </w:r>
      <w:r>
        <w:tab/>
      </w:r>
      <w:r>
        <w:fldChar w:fldCharType="begin"/>
      </w:r>
      <w:r>
        <w:instrText xml:space="preserve"> PAGEREF _Toc16791 \h </w:instrText>
      </w:r>
      <w:r>
        <w:fldChar w:fldCharType="separate"/>
      </w:r>
      <w:r>
        <w:t>8</w:t>
      </w:r>
      <w:r>
        <w:fldChar w:fldCharType="end"/>
      </w:r>
      <w:r>
        <w:rPr>
          <w:rFonts w:hint="eastAsia" w:ascii="宋体" w:hAnsi="宋体" w:cs="宋体"/>
          <w:bCs/>
          <w:color w:val="auto"/>
          <w:szCs w:val="32"/>
          <w:highlight w:val="none"/>
        </w:rPr>
        <w:fldChar w:fldCharType="end"/>
      </w:r>
    </w:p>
    <w:p w14:paraId="33ABC202">
      <w:pPr>
        <w:pStyle w:val="24"/>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_Toc16473 </w:instrText>
      </w:r>
      <w:r>
        <w:rPr>
          <w:rFonts w:hint="eastAsia" w:ascii="宋体" w:hAnsi="宋体" w:cs="宋体"/>
          <w:bCs/>
          <w:szCs w:val="32"/>
          <w:highlight w:val="none"/>
        </w:rPr>
        <w:fldChar w:fldCharType="separate"/>
      </w:r>
      <w:r>
        <w:rPr>
          <w:rFonts w:hint="eastAsia" w:ascii="宋体" w:hAnsi="宋体" w:eastAsia="宋体" w:cs="宋体"/>
          <w:bCs/>
          <w:kern w:val="0"/>
          <w:szCs w:val="32"/>
          <w:highlight w:val="none"/>
        </w:rPr>
        <w:t>第四章  评标办法及评分标准</w:t>
      </w:r>
      <w:r>
        <w:tab/>
      </w:r>
      <w:r>
        <w:fldChar w:fldCharType="begin"/>
      </w:r>
      <w:r>
        <w:instrText xml:space="preserve"> PAGEREF _Toc16473 \h </w:instrText>
      </w:r>
      <w:r>
        <w:fldChar w:fldCharType="separate"/>
      </w:r>
      <w:r>
        <w:t>17</w:t>
      </w:r>
      <w:r>
        <w:fldChar w:fldCharType="end"/>
      </w:r>
      <w:r>
        <w:rPr>
          <w:rFonts w:hint="eastAsia" w:ascii="宋体" w:hAnsi="宋体" w:cs="宋体"/>
          <w:bCs/>
          <w:color w:val="auto"/>
          <w:szCs w:val="32"/>
          <w:highlight w:val="none"/>
        </w:rPr>
        <w:fldChar w:fldCharType="end"/>
      </w:r>
    </w:p>
    <w:p w14:paraId="4F9FFBB8">
      <w:pPr>
        <w:pStyle w:val="24"/>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_Toc1638 </w:instrText>
      </w:r>
      <w:r>
        <w:rPr>
          <w:rFonts w:hint="eastAsia" w:ascii="宋体" w:hAnsi="宋体" w:cs="宋体"/>
          <w:bCs/>
          <w:szCs w:val="32"/>
          <w:highlight w:val="none"/>
        </w:rPr>
        <w:fldChar w:fldCharType="separate"/>
      </w:r>
      <w:r>
        <w:rPr>
          <w:rFonts w:hint="eastAsia"/>
          <w:szCs w:val="28"/>
          <w:highlight w:val="none"/>
        </w:rPr>
        <w:t>第五章  采购合同</w:t>
      </w:r>
      <w:r>
        <w:tab/>
      </w:r>
      <w:r>
        <w:fldChar w:fldCharType="begin"/>
      </w:r>
      <w:r>
        <w:instrText xml:space="preserve"> PAGEREF _Toc1638 \h </w:instrText>
      </w:r>
      <w:r>
        <w:fldChar w:fldCharType="separate"/>
      </w:r>
      <w:r>
        <w:t>19</w:t>
      </w:r>
      <w:r>
        <w:fldChar w:fldCharType="end"/>
      </w:r>
      <w:r>
        <w:rPr>
          <w:rFonts w:hint="eastAsia" w:ascii="宋体" w:hAnsi="宋体" w:cs="宋体"/>
          <w:bCs/>
          <w:color w:val="auto"/>
          <w:szCs w:val="32"/>
          <w:highlight w:val="none"/>
        </w:rPr>
        <w:fldChar w:fldCharType="end"/>
      </w:r>
    </w:p>
    <w:p w14:paraId="74B18EF9">
      <w:pPr>
        <w:pStyle w:val="24"/>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_Toc5963 </w:instrText>
      </w:r>
      <w:r>
        <w:rPr>
          <w:rFonts w:hint="eastAsia" w:ascii="宋体" w:hAnsi="宋体" w:cs="宋体"/>
          <w:bCs/>
          <w:szCs w:val="32"/>
          <w:highlight w:val="none"/>
        </w:rPr>
        <w:fldChar w:fldCharType="separate"/>
      </w:r>
      <w:r>
        <w:rPr>
          <w:rFonts w:hint="eastAsia"/>
          <w:szCs w:val="32"/>
          <w:highlight w:val="none"/>
        </w:rPr>
        <w:t>第六章  投标文件格式</w:t>
      </w:r>
      <w:r>
        <w:tab/>
      </w:r>
      <w:r>
        <w:fldChar w:fldCharType="begin"/>
      </w:r>
      <w:r>
        <w:instrText xml:space="preserve"> PAGEREF _Toc5963 \h </w:instrText>
      </w:r>
      <w:r>
        <w:fldChar w:fldCharType="separate"/>
      </w:r>
      <w:r>
        <w:t>20</w:t>
      </w:r>
      <w:r>
        <w:fldChar w:fldCharType="end"/>
      </w:r>
      <w:r>
        <w:rPr>
          <w:rFonts w:hint="eastAsia" w:ascii="宋体" w:hAnsi="宋体" w:cs="宋体"/>
          <w:bCs/>
          <w:color w:val="auto"/>
          <w:szCs w:val="32"/>
          <w:highlight w:val="none"/>
        </w:rPr>
        <w:fldChar w:fldCharType="end"/>
      </w:r>
    </w:p>
    <w:p w14:paraId="572619AC">
      <w:pPr>
        <w:pStyle w:val="82"/>
        <w:keepNext w:val="0"/>
        <w:keepLines w:val="0"/>
        <w:pageBreakBefore w:val="0"/>
        <w:tabs>
          <w:tab w:val="right" w:leader="dot" w:pos="8300"/>
        </w:tabs>
        <w:kinsoku/>
        <w:wordWrap/>
        <w:overflowPunct/>
        <w:topLinePunct w:val="0"/>
        <w:autoSpaceDE/>
        <w:autoSpaceDN/>
        <w:bidi w:val="0"/>
        <w:adjustRightInd/>
        <w:snapToGrid w:val="0"/>
        <w:spacing w:line="360" w:lineRule="auto"/>
        <w:textAlignment w:val="auto"/>
        <w:rPr>
          <w:rFonts w:ascii="宋体" w:hAnsi="宋体" w:cs="宋体"/>
          <w:color w:val="auto"/>
          <w:sz w:val="32"/>
          <w:szCs w:val="32"/>
          <w:highlight w:val="none"/>
        </w:rPr>
      </w:pPr>
      <w:r>
        <w:rPr>
          <w:rFonts w:hint="eastAsia" w:ascii="宋体" w:hAnsi="宋体" w:cs="宋体"/>
          <w:bCs/>
          <w:color w:val="auto"/>
          <w:szCs w:val="32"/>
          <w:highlight w:val="none"/>
        </w:rPr>
        <w:fldChar w:fldCharType="end"/>
      </w:r>
    </w:p>
    <w:p w14:paraId="1876AAF1">
      <w:pPr>
        <w:spacing w:line="440" w:lineRule="exact"/>
        <w:rPr>
          <w:rFonts w:ascii="宋体" w:hAnsi="宋体"/>
          <w:b/>
          <w:color w:val="auto"/>
          <w:sz w:val="32"/>
          <w:szCs w:val="32"/>
          <w:highlight w:val="none"/>
        </w:rPr>
      </w:pPr>
    </w:p>
    <w:p w14:paraId="44B58550">
      <w:pPr>
        <w:spacing w:line="360" w:lineRule="auto"/>
        <w:ind w:firstLine="2409" w:firstLineChars="600"/>
        <w:rPr>
          <w:rFonts w:ascii="宋体" w:hAnsi="宋体"/>
          <w:b/>
          <w:color w:val="auto"/>
          <w:sz w:val="40"/>
          <w:szCs w:val="40"/>
          <w:highlight w:val="none"/>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14:paraId="7CD24E50">
      <w:pPr>
        <w:spacing w:line="360" w:lineRule="auto"/>
        <w:jc w:val="center"/>
        <w:outlineLvl w:val="0"/>
        <w:rPr>
          <w:rFonts w:ascii="宋体" w:hAnsi="宋体"/>
          <w:b/>
          <w:color w:val="auto"/>
          <w:sz w:val="32"/>
          <w:szCs w:val="32"/>
          <w:highlight w:val="none"/>
        </w:rPr>
      </w:pPr>
      <w:bookmarkStart w:id="2" w:name="_Toc22821"/>
      <w:r>
        <w:rPr>
          <w:rFonts w:hint="eastAsia" w:ascii="宋体" w:hAnsi="宋体"/>
          <w:b/>
          <w:color w:val="auto"/>
          <w:sz w:val="32"/>
          <w:szCs w:val="32"/>
          <w:highlight w:val="none"/>
        </w:rPr>
        <w:t xml:space="preserve">第一章  </w:t>
      </w:r>
      <w:r>
        <w:rPr>
          <w:rFonts w:hint="eastAsia" w:ascii="宋体" w:hAnsi="宋体"/>
          <w:b/>
          <w:color w:val="auto"/>
          <w:sz w:val="32"/>
          <w:szCs w:val="32"/>
          <w:highlight w:val="none"/>
          <w:lang w:val="en-US" w:eastAsia="zh-CN"/>
        </w:rPr>
        <w:t>竞争性磋商采购</w:t>
      </w:r>
      <w:r>
        <w:rPr>
          <w:rFonts w:hint="eastAsia" w:ascii="宋体" w:hAnsi="宋体"/>
          <w:b/>
          <w:color w:val="auto"/>
          <w:sz w:val="32"/>
          <w:szCs w:val="32"/>
          <w:highlight w:val="none"/>
        </w:rPr>
        <w:t>公告</w:t>
      </w:r>
      <w:bookmarkEnd w:id="2"/>
    </w:p>
    <w:p w14:paraId="4FE33C15">
      <w:pPr>
        <w:keepNext w:val="0"/>
        <w:keepLines w:val="0"/>
        <w:pageBreakBefore w:val="0"/>
        <w:widowControl/>
        <w:kinsoku/>
        <w:wordWrap/>
        <w:overflowPunct/>
        <w:topLinePunct w:val="0"/>
        <w:autoSpaceDE/>
        <w:autoSpaceDN/>
        <w:bidi w:val="0"/>
        <w:adjustRightInd w:val="0"/>
        <w:snapToGrid w:val="0"/>
        <w:spacing w:afterAutospacing="0" w:line="360" w:lineRule="auto"/>
        <w:jc w:val="center"/>
        <w:textAlignment w:val="auto"/>
        <w:rPr>
          <w:rFonts w:hint="eastAsia" w:ascii="宋体" w:hAnsi="宋体" w:eastAsia="宋体" w:cs="宋体"/>
          <w:b/>
          <w:bCs w:val="0"/>
          <w:color w:val="auto"/>
          <w:kern w:val="0"/>
          <w:sz w:val="28"/>
          <w:szCs w:val="28"/>
        </w:rPr>
      </w:pPr>
      <w:r>
        <w:rPr>
          <w:rFonts w:hint="eastAsia" w:ascii="宋体" w:hAnsi="宋体" w:cs="宋体"/>
          <w:b/>
          <w:bCs w:val="0"/>
          <w:color w:val="auto"/>
          <w:kern w:val="0"/>
          <w:sz w:val="28"/>
          <w:szCs w:val="28"/>
          <w:u w:val="none"/>
          <w:lang w:val="en-US" w:eastAsia="zh-CN"/>
        </w:rPr>
        <w:t>驻马店市中心医院妇儿院区新生儿科等科室UPS电源更换电池组项目</w:t>
      </w:r>
      <w:r>
        <w:rPr>
          <w:rFonts w:hint="eastAsia" w:ascii="宋体" w:hAnsi="宋体" w:eastAsia="宋体" w:cs="宋体"/>
          <w:b/>
          <w:bCs w:val="0"/>
          <w:color w:val="auto"/>
          <w:kern w:val="0"/>
          <w:sz w:val="28"/>
          <w:szCs w:val="28"/>
          <w:u w:val="none"/>
          <w:lang w:val="en-US" w:eastAsia="zh-CN"/>
        </w:rPr>
        <w:t>竞争性磋商</w:t>
      </w:r>
      <w:r>
        <w:rPr>
          <w:rFonts w:hint="eastAsia" w:ascii="宋体" w:hAnsi="宋体" w:eastAsia="宋体" w:cs="宋体"/>
          <w:b/>
          <w:bCs w:val="0"/>
          <w:color w:val="auto"/>
          <w:kern w:val="0"/>
          <w:sz w:val="28"/>
          <w:szCs w:val="28"/>
        </w:rPr>
        <w:t>公告</w:t>
      </w:r>
    </w:p>
    <w:p w14:paraId="08EBCE05">
      <w:pPr>
        <w:snapToGrid w:val="0"/>
        <w:spacing w:line="360" w:lineRule="auto"/>
        <w:ind w:firstLine="420" w:firstLineChars="200"/>
        <w:rPr>
          <w:rFonts w:ascii="宋体" w:hAnsi="宋体" w:eastAsia="宋体" w:cs="宋体"/>
          <w:color w:val="auto"/>
          <w:szCs w:val="21"/>
        </w:rPr>
      </w:pPr>
      <w:r>
        <w:rPr>
          <w:rFonts w:hint="eastAsia" w:ascii="宋体" w:hAnsi="宋体" w:eastAsia="宋体" w:cs="宋体"/>
          <w:color w:val="auto"/>
        </w:rPr>
        <w:t>驻马店市中心医院现对</w:t>
      </w:r>
      <w:r>
        <w:rPr>
          <w:rFonts w:hint="eastAsia" w:ascii="宋体" w:hAnsi="宋体" w:cs="宋体"/>
          <w:color w:val="auto"/>
          <w:u w:val="single"/>
          <w:lang w:val="en-US" w:eastAsia="zh-CN"/>
        </w:rPr>
        <w:t xml:space="preserve"> 妇儿院区新生儿科等科室UPS电源更换电池组 </w:t>
      </w:r>
      <w:r>
        <w:rPr>
          <w:rFonts w:hint="eastAsia" w:ascii="宋体" w:hAnsi="宋体" w:eastAsia="宋体" w:cs="宋体"/>
          <w:color w:val="auto"/>
        </w:rPr>
        <w:t>进行院内</w:t>
      </w:r>
      <w:r>
        <w:rPr>
          <w:rFonts w:hint="eastAsia" w:ascii="宋体" w:hAnsi="宋体" w:eastAsia="宋体" w:cs="宋体"/>
          <w:color w:val="auto"/>
          <w:lang w:val="en-US" w:eastAsia="zh-CN"/>
        </w:rPr>
        <w:t>竞争性磋商</w:t>
      </w:r>
      <w:r>
        <w:rPr>
          <w:rFonts w:hint="eastAsia" w:ascii="宋体" w:hAnsi="宋体" w:eastAsia="宋体" w:cs="宋体"/>
          <w:color w:val="auto"/>
        </w:rPr>
        <w:t>采购，欢迎符合资格条件的供应商前来</w:t>
      </w:r>
      <w:r>
        <w:rPr>
          <w:rFonts w:hint="eastAsia" w:ascii="宋体" w:hAnsi="宋体" w:eastAsia="宋体" w:cs="宋体"/>
          <w:color w:val="auto"/>
          <w:lang w:val="en-US" w:eastAsia="zh-CN"/>
        </w:rPr>
        <w:t>报名并</w:t>
      </w:r>
      <w:r>
        <w:rPr>
          <w:rFonts w:hint="eastAsia" w:ascii="宋体" w:hAnsi="宋体" w:eastAsia="宋体" w:cs="宋体"/>
          <w:color w:val="auto"/>
          <w:szCs w:val="21"/>
        </w:rPr>
        <w:t>获取</w:t>
      </w:r>
      <w:r>
        <w:rPr>
          <w:rFonts w:hint="eastAsia" w:ascii="宋体" w:hAnsi="宋体" w:eastAsia="宋体" w:cs="宋体"/>
          <w:color w:val="auto"/>
          <w:szCs w:val="21"/>
          <w:lang w:val="en-US" w:eastAsia="zh-CN"/>
        </w:rPr>
        <w:t>采购</w:t>
      </w:r>
      <w:r>
        <w:rPr>
          <w:rFonts w:hint="eastAsia" w:ascii="宋体" w:hAnsi="宋体" w:eastAsia="宋体" w:cs="宋体"/>
          <w:color w:val="auto"/>
          <w:szCs w:val="21"/>
        </w:rPr>
        <w:t>文件。</w:t>
      </w:r>
    </w:p>
    <w:p w14:paraId="07C72012">
      <w:pPr>
        <w:keepNext w:val="0"/>
        <w:keepLines w:val="0"/>
        <w:widowControl/>
        <w:snapToGrid w:val="0"/>
        <w:spacing w:before="0" w:after="0" w:line="360" w:lineRule="auto"/>
        <w:jc w:val="left"/>
        <w:outlineLvl w:val="1"/>
        <w:rPr>
          <w:rFonts w:ascii="宋体" w:hAnsi="宋体" w:eastAsia="宋体" w:cs="宋体"/>
          <w:b/>
          <w:bCs/>
          <w:color w:val="auto"/>
          <w:kern w:val="2"/>
          <w:sz w:val="21"/>
          <w:szCs w:val="21"/>
          <w:shd w:val="clear" w:color="auto" w:fill="FFFFFF"/>
          <w:lang w:val="en-US" w:eastAsia="zh-CN" w:bidi="ar-SA"/>
        </w:rPr>
      </w:pPr>
      <w:r>
        <w:rPr>
          <w:rFonts w:hint="eastAsia" w:ascii="宋体" w:hAnsi="宋体" w:eastAsia="宋体" w:cs="宋体"/>
          <w:b/>
          <w:bCs/>
          <w:color w:val="auto"/>
          <w:kern w:val="2"/>
          <w:sz w:val="21"/>
          <w:szCs w:val="21"/>
          <w:shd w:val="clear" w:color="auto" w:fill="FFFFFF"/>
          <w:lang w:val="en-US" w:eastAsia="zh-CN" w:bidi="ar-SA"/>
        </w:rPr>
        <w:t>一、项目基本情况</w:t>
      </w:r>
    </w:p>
    <w:p w14:paraId="2D96E586">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1、</w:t>
      </w:r>
      <w:r>
        <w:rPr>
          <w:rFonts w:hint="eastAsia" w:ascii="宋体" w:hAnsi="宋体" w:eastAsia="宋体" w:cs="宋体"/>
          <w:color w:val="auto"/>
          <w:szCs w:val="21"/>
          <w:highlight w:val="none"/>
          <w:shd w:val="clear" w:color="auto" w:fill="FFFFFF"/>
          <w:lang w:val="en-US" w:eastAsia="zh-CN"/>
        </w:rPr>
        <w:t>采购</w:t>
      </w:r>
      <w:r>
        <w:rPr>
          <w:rFonts w:hint="eastAsia" w:ascii="宋体" w:hAnsi="宋体" w:eastAsia="宋体" w:cs="宋体"/>
          <w:color w:val="auto"/>
          <w:szCs w:val="21"/>
          <w:highlight w:val="none"/>
          <w:shd w:val="clear" w:color="auto" w:fill="FFFFFF"/>
        </w:rPr>
        <w:t>项目名称：</w:t>
      </w:r>
      <w:r>
        <w:rPr>
          <w:rFonts w:hint="eastAsia" w:ascii="宋体" w:hAnsi="宋体" w:cs="宋体"/>
          <w:color w:val="auto"/>
          <w:szCs w:val="21"/>
          <w:highlight w:val="none"/>
          <w:shd w:val="clear" w:color="auto" w:fill="FFFFFF"/>
          <w:lang w:val="en-US" w:eastAsia="zh-CN"/>
        </w:rPr>
        <w:t>驻马店市中心医院妇儿院区新生儿科等科室UPS电源更换电池组项目</w:t>
      </w:r>
      <w:r>
        <w:rPr>
          <w:rFonts w:hint="eastAsia" w:ascii="宋体" w:hAnsi="宋体" w:eastAsia="宋体" w:cs="宋体"/>
          <w:color w:val="auto"/>
          <w:szCs w:val="21"/>
          <w:highlight w:val="none"/>
          <w:shd w:val="clear" w:color="auto" w:fill="FFFFFF"/>
          <w:lang w:eastAsia="zh-CN"/>
        </w:rPr>
        <w:t>；</w:t>
      </w:r>
    </w:p>
    <w:p w14:paraId="20D29ED7">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2、采购需求</w:t>
      </w:r>
      <w:r>
        <w:rPr>
          <w:rFonts w:hint="eastAsia" w:ascii="宋体" w:hAnsi="宋体" w:eastAsia="宋体" w:cs="宋体"/>
          <w:color w:val="auto"/>
          <w:szCs w:val="21"/>
          <w:highlight w:val="none"/>
          <w:shd w:val="clear" w:color="auto" w:fill="FFFFFF"/>
          <w:lang w:eastAsia="zh-CN"/>
        </w:rPr>
        <w:t>：</w:t>
      </w:r>
      <w:r>
        <w:rPr>
          <w:rFonts w:hint="eastAsia" w:ascii="宋体" w:hAnsi="宋体" w:eastAsia="宋体" w:cs="宋体"/>
          <w:color w:val="auto"/>
          <w:szCs w:val="21"/>
          <w:highlight w:val="none"/>
          <w:shd w:val="clear" w:color="auto" w:fill="FFFFFF"/>
        </w:rPr>
        <w:t>具体要求详见附件</w:t>
      </w:r>
      <w:r>
        <w:rPr>
          <w:rFonts w:hint="eastAsia" w:ascii="宋体" w:hAnsi="宋体" w:eastAsia="宋体" w:cs="宋体"/>
          <w:color w:val="auto"/>
          <w:szCs w:val="21"/>
          <w:highlight w:val="none"/>
          <w:shd w:val="clear" w:color="auto" w:fill="FFFFFF"/>
          <w:lang w:eastAsia="zh-CN"/>
        </w:rPr>
        <w:t>；</w:t>
      </w:r>
    </w:p>
    <w:p w14:paraId="5F6CEF8F">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rPr>
      </w:pPr>
      <w:r>
        <w:rPr>
          <w:rFonts w:hint="eastAsia" w:ascii="宋体" w:hAnsi="宋体" w:eastAsia="宋体" w:cs="宋体"/>
          <w:color w:val="auto"/>
          <w:szCs w:val="21"/>
          <w:highlight w:val="none"/>
          <w:shd w:val="clear" w:color="auto" w:fill="FFFFFF"/>
        </w:rPr>
        <w:t>3</w:t>
      </w:r>
      <w:bookmarkStart w:id="3" w:name="_Toc26725"/>
      <w:r>
        <w:rPr>
          <w:rFonts w:hint="eastAsia" w:ascii="宋体" w:hAnsi="宋体" w:eastAsia="宋体" w:cs="宋体"/>
          <w:color w:val="auto"/>
          <w:szCs w:val="21"/>
          <w:highlight w:val="none"/>
          <w:shd w:val="clear" w:color="auto" w:fill="FFFFFF"/>
        </w:rPr>
        <w:t>、预算金额：</w:t>
      </w:r>
      <w:r>
        <w:rPr>
          <w:rFonts w:hint="eastAsia" w:ascii="宋体" w:hAnsi="宋体" w:cs="宋体"/>
          <w:color w:val="auto"/>
          <w:szCs w:val="21"/>
          <w:highlight w:val="none"/>
          <w:shd w:val="clear" w:color="auto" w:fill="FFFFFF"/>
          <w:lang w:val="en-US" w:eastAsia="zh-CN"/>
        </w:rPr>
        <w:t>17.38万元</w:t>
      </w:r>
      <w:r>
        <w:rPr>
          <w:rFonts w:hint="eastAsia" w:ascii="宋体" w:hAnsi="宋体" w:eastAsia="宋体" w:cs="宋体"/>
          <w:color w:val="auto"/>
          <w:szCs w:val="21"/>
          <w:highlight w:val="none"/>
          <w:shd w:val="clear" w:color="auto" w:fill="FFFFFF"/>
          <w:lang w:val="en-US" w:eastAsia="zh-CN"/>
        </w:rPr>
        <w:t>；</w:t>
      </w:r>
    </w:p>
    <w:p w14:paraId="72D6D92C">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4、</w:t>
      </w:r>
      <w:r>
        <w:rPr>
          <w:rFonts w:hint="eastAsia" w:ascii="宋体" w:hAnsi="宋体" w:cs="宋体"/>
          <w:color w:val="auto"/>
          <w:szCs w:val="21"/>
          <w:highlight w:val="none"/>
          <w:shd w:val="clear" w:color="auto" w:fill="FFFFFF"/>
          <w:lang w:val="en-US" w:eastAsia="zh-CN"/>
        </w:rPr>
        <w:t>交货期</w:t>
      </w:r>
      <w:r>
        <w:rPr>
          <w:rFonts w:hint="eastAsia" w:ascii="宋体" w:hAnsi="宋体" w:eastAsia="宋体" w:cs="宋体"/>
          <w:color w:val="auto"/>
          <w:szCs w:val="21"/>
          <w:highlight w:val="none"/>
          <w:shd w:val="clear" w:color="auto" w:fill="FFFFFF"/>
          <w:lang w:val="en-US" w:eastAsia="zh-CN"/>
        </w:rPr>
        <w:t>：</w:t>
      </w:r>
      <w:r>
        <w:rPr>
          <w:rFonts w:hint="eastAsia" w:ascii="宋体" w:hAnsi="宋体" w:cs="宋体"/>
          <w:color w:val="auto"/>
          <w:szCs w:val="21"/>
          <w:highlight w:val="none"/>
          <w:shd w:val="clear" w:color="auto" w:fill="FFFFFF"/>
          <w:lang w:val="en-US" w:eastAsia="zh-CN"/>
        </w:rPr>
        <w:t>合同签订后30日内交货</w:t>
      </w:r>
      <w:r>
        <w:rPr>
          <w:rFonts w:hint="eastAsia" w:ascii="宋体" w:hAnsi="宋体" w:eastAsia="宋体" w:cs="宋体"/>
          <w:color w:val="auto"/>
          <w:szCs w:val="21"/>
          <w:highlight w:val="none"/>
          <w:shd w:val="clear" w:color="auto" w:fill="FFFFFF"/>
          <w:lang w:val="en-US" w:eastAsia="zh-CN"/>
        </w:rPr>
        <w:t>；</w:t>
      </w:r>
    </w:p>
    <w:p w14:paraId="36F2C51C">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cs="宋体"/>
          <w:color w:val="auto"/>
          <w:szCs w:val="21"/>
          <w:highlight w:val="none"/>
          <w:shd w:val="clear" w:color="auto" w:fill="FFFFFF"/>
          <w:lang w:val="en-US" w:eastAsia="zh-CN"/>
        </w:rPr>
        <w:t>5</w:t>
      </w:r>
      <w:r>
        <w:rPr>
          <w:rFonts w:hint="eastAsia" w:ascii="宋体" w:hAnsi="宋体" w:eastAsia="宋体" w:cs="宋体"/>
          <w:color w:val="auto"/>
          <w:szCs w:val="21"/>
          <w:highlight w:val="none"/>
          <w:shd w:val="clear" w:color="auto" w:fill="FFFFFF"/>
        </w:rPr>
        <w:t>、质量要求：</w:t>
      </w:r>
      <w:r>
        <w:rPr>
          <w:rFonts w:hint="eastAsia" w:ascii="宋体" w:hAnsi="宋体" w:cs="宋体"/>
          <w:color w:val="auto"/>
          <w:szCs w:val="21"/>
          <w:highlight w:val="none"/>
          <w:shd w:val="clear" w:color="auto" w:fill="FFFFFF"/>
          <w:lang w:eastAsia="zh-CN"/>
        </w:rPr>
        <w:t>符合现行国家质量要求和行业有关标准</w:t>
      </w:r>
      <w:r>
        <w:rPr>
          <w:rFonts w:hint="eastAsia" w:ascii="宋体" w:hAnsi="宋体" w:eastAsia="宋体" w:cs="宋体"/>
          <w:color w:val="auto"/>
          <w:szCs w:val="21"/>
          <w:highlight w:val="none"/>
          <w:shd w:val="clear" w:color="auto" w:fill="FFFFFF"/>
          <w:lang w:eastAsia="zh-CN"/>
        </w:rPr>
        <w:t>。</w:t>
      </w:r>
    </w:p>
    <w:p w14:paraId="5C4E04B0">
      <w:pPr>
        <w:keepNext w:val="0"/>
        <w:keepLines w:val="0"/>
        <w:widowControl/>
        <w:snapToGrid w:val="0"/>
        <w:spacing w:before="0" w:after="0" w:line="360" w:lineRule="auto"/>
        <w:jc w:val="left"/>
        <w:outlineLvl w:val="1"/>
        <w:rPr>
          <w:rFonts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pPr>
      <w:bookmarkStart w:id="4" w:name="_Toc18607"/>
      <w:bookmarkStart w:id="5" w:name="_Toc27704"/>
      <w:bookmarkStart w:id="6" w:name="_Toc16639"/>
      <w:bookmarkStart w:id="7" w:name="_Toc23626"/>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二、</w:t>
      </w:r>
      <w:bookmarkEnd w:id="3"/>
      <w:bookmarkEnd w:id="4"/>
      <w:bookmarkEnd w:id="5"/>
      <w:bookmarkEnd w:id="6"/>
      <w:bookmarkEnd w:id="7"/>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供应商资格要求：</w:t>
      </w:r>
    </w:p>
    <w:p w14:paraId="48DAD899">
      <w:pPr>
        <w:pStyle w:val="13"/>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lang w:val="en-US" w:eastAsia="zh-CN" w:bidi="ar-SA"/>
          <w14:textFill>
            <w14:solidFill>
              <w14:schemeClr w14:val="tx1"/>
            </w14:solidFill>
          </w14:textFill>
        </w:rPr>
      </w:pPr>
      <w:bookmarkStart w:id="8" w:name="_Toc30643"/>
      <w:bookmarkStart w:id="9" w:name="_Toc23395"/>
      <w:bookmarkStart w:id="10" w:name="_Toc30971"/>
      <w:bookmarkStart w:id="11" w:name="_Toc9562"/>
      <w:bookmarkStart w:id="12" w:name="_Toc7823"/>
      <w:r>
        <w:rPr>
          <w:rFonts w:hint="eastAsia" w:ascii="宋体" w:hAnsi="宋体" w:eastAsia="宋体" w:cs="宋体"/>
          <w:color w:val="000000" w:themeColor="text1"/>
          <w:kern w:val="2"/>
          <w:sz w:val="21"/>
          <w:szCs w:val="24"/>
          <w:lang w:val="en-US" w:eastAsia="zh-CN" w:bidi="ar-SA"/>
          <w14:textFill>
            <w14:solidFill>
              <w14:schemeClr w14:val="tx1"/>
            </w14:solidFill>
          </w14:textFill>
        </w:rPr>
        <w:t>1、供应商应为注册在中华人民共和国境内的，且具有独立承担民事责任能力，提供法人或者其他组织的营业执照等证明文件。</w:t>
      </w:r>
    </w:p>
    <w:p w14:paraId="048979BC">
      <w:pPr>
        <w:pStyle w:val="13"/>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lang w:val="en-US" w:eastAsia="zh-CN" w:bidi="ar-SA"/>
          <w14:textFill>
            <w14:solidFill>
              <w14:schemeClr w14:val="tx1"/>
            </w14:solidFill>
          </w14:textFill>
        </w:rPr>
      </w:pPr>
      <w:r>
        <w:rPr>
          <w:rFonts w:hint="eastAsia" w:ascii="宋体" w:hAnsi="宋体" w:eastAsia="宋体" w:cs="宋体"/>
          <w:color w:val="000000" w:themeColor="text1"/>
          <w:kern w:val="2"/>
          <w:sz w:val="21"/>
          <w:szCs w:val="24"/>
          <w:lang w:val="en-US" w:eastAsia="zh-CN" w:bidi="ar-SA"/>
          <w14:textFill>
            <w14:solidFill>
              <w14:schemeClr w14:val="tx1"/>
            </w14:solidFill>
          </w14:textFill>
        </w:rPr>
        <w:t>2、</w:t>
      </w:r>
      <w:r>
        <w:rPr>
          <w:rFonts w:hint="eastAsia" w:cs="宋体"/>
          <w:color w:val="000000" w:themeColor="text1"/>
          <w:kern w:val="2"/>
          <w:sz w:val="21"/>
          <w:szCs w:val="24"/>
          <w:lang w:val="en-US" w:eastAsia="zh-CN" w:bidi="ar-SA"/>
          <w14:textFill>
            <w14:solidFill>
              <w14:schemeClr w14:val="tx1"/>
            </w14:solidFill>
          </w14:textFill>
        </w:rPr>
        <w:t>供应商应提供2022年度或2023年度经审计的财务报告或者其基本开户银行出具的资信证明；采购活动近六个月任意一个月的依法缴纳税收的凭据和缴纳社会保险的凭据；依法免税或不需要缴纳社会保障资金的供应商，应提供相应文件证明其依法免税或不需要缴纳社会保障资金。（新成立企业从成立之日起计算）</w:t>
      </w:r>
      <w:r>
        <w:rPr>
          <w:rFonts w:hint="eastAsia" w:ascii="宋体" w:hAnsi="宋体" w:eastAsia="宋体" w:cs="宋体"/>
          <w:color w:val="000000" w:themeColor="text1"/>
          <w:kern w:val="2"/>
          <w:sz w:val="21"/>
          <w:szCs w:val="24"/>
          <w:lang w:val="en-US" w:eastAsia="zh-CN" w:bidi="ar-SA"/>
          <w14:textFill>
            <w14:solidFill>
              <w14:schemeClr w14:val="tx1"/>
            </w14:solidFill>
          </w14:textFill>
        </w:rPr>
        <w:t>；</w:t>
      </w:r>
    </w:p>
    <w:p w14:paraId="543583E9">
      <w:pPr>
        <w:pStyle w:val="13"/>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lang w:val="en-US" w:eastAsia="zh-CN" w:bidi="ar-SA"/>
          <w14:textFill>
            <w14:solidFill>
              <w14:schemeClr w14:val="tx1"/>
            </w14:solidFill>
          </w14:textFill>
        </w:rPr>
      </w:pPr>
      <w:r>
        <w:rPr>
          <w:rFonts w:hint="eastAsia" w:ascii="宋体" w:hAnsi="宋体" w:eastAsia="宋体" w:cs="宋体"/>
          <w:color w:val="000000" w:themeColor="text1"/>
          <w:kern w:val="2"/>
          <w:sz w:val="21"/>
          <w:szCs w:val="24"/>
          <w:lang w:val="en-US" w:eastAsia="zh-CN" w:bidi="ar-SA"/>
          <w14:textFill>
            <w14:solidFill>
              <w14:schemeClr w14:val="tx1"/>
            </w14:solidFill>
          </w14:textFill>
        </w:rPr>
        <w:t>3、具有履行合同所必需的设备和专业技术能力（提供书面声明函）；</w:t>
      </w:r>
    </w:p>
    <w:p w14:paraId="1E02E580">
      <w:pPr>
        <w:pStyle w:val="13"/>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lang w:val="en-US" w:eastAsia="zh-CN" w:bidi="ar-SA"/>
          <w14:textFill>
            <w14:solidFill>
              <w14:schemeClr w14:val="tx1"/>
            </w14:solidFill>
          </w14:textFill>
        </w:rPr>
      </w:pPr>
      <w:r>
        <w:rPr>
          <w:rFonts w:hint="eastAsia" w:ascii="宋体" w:hAnsi="宋体" w:eastAsia="宋体" w:cs="宋体"/>
          <w:color w:val="000000" w:themeColor="text1"/>
          <w:kern w:val="2"/>
          <w:sz w:val="21"/>
          <w:szCs w:val="24"/>
          <w:lang w:val="en-US" w:eastAsia="zh-CN" w:bidi="ar-SA"/>
          <w14:textFill>
            <w14:solidFill>
              <w14:schemeClr w14:val="tx1"/>
            </w14:solidFill>
          </w14:textFill>
        </w:rPr>
        <w:t>4、参加本采购活动前三年内，在经营活动中没有重大违法记录（提供书面声明函）；</w:t>
      </w:r>
    </w:p>
    <w:p w14:paraId="4CA9B49C">
      <w:pPr>
        <w:pStyle w:val="13"/>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lang w:val="en-US" w:eastAsia="zh-CN" w:bidi="ar-SA"/>
          <w14:textFill>
            <w14:solidFill>
              <w14:schemeClr w14:val="tx1"/>
            </w14:solidFill>
          </w14:textFill>
        </w:rPr>
      </w:pPr>
      <w:r>
        <w:rPr>
          <w:rFonts w:hint="eastAsia" w:ascii="宋体" w:hAnsi="宋体" w:eastAsia="宋体" w:cs="宋体"/>
          <w:color w:val="000000" w:themeColor="text1"/>
          <w:kern w:val="2"/>
          <w:sz w:val="21"/>
          <w:szCs w:val="24"/>
          <w:lang w:val="en-US" w:eastAsia="zh-CN" w:bidi="ar-SA"/>
          <w14:textFill>
            <w14:solidFill>
              <w14:schemeClr w14:val="tx1"/>
            </w14:solidFill>
          </w14:textFill>
        </w:rPr>
        <w:t>5、符合法律、行政法规规定的其他条件；</w:t>
      </w:r>
    </w:p>
    <w:p w14:paraId="4BC74DBE">
      <w:pPr>
        <w:pStyle w:val="13"/>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lang w:val="en-US" w:eastAsia="zh-CN" w:bidi="ar-SA"/>
          <w14:textFill>
            <w14:solidFill>
              <w14:schemeClr w14:val="tx1"/>
            </w14:solidFill>
          </w14:textFill>
        </w:rPr>
      </w:pPr>
      <w:r>
        <w:rPr>
          <w:rFonts w:hint="eastAsia" w:cs="宋体"/>
          <w:color w:val="000000" w:themeColor="text1"/>
          <w:kern w:val="2"/>
          <w:sz w:val="21"/>
          <w:szCs w:val="24"/>
          <w:lang w:val="en-US" w:eastAsia="zh-CN" w:bidi="ar-SA"/>
          <w14:textFill>
            <w14:solidFill>
              <w14:schemeClr w14:val="tx1"/>
            </w14:solidFill>
          </w14:textFill>
        </w:rPr>
        <w:t>6</w:t>
      </w:r>
      <w:r>
        <w:rPr>
          <w:rFonts w:hint="eastAsia" w:ascii="宋体" w:hAnsi="宋体" w:eastAsia="宋体" w:cs="宋体"/>
          <w:color w:val="000000" w:themeColor="text1"/>
          <w:kern w:val="2"/>
          <w:sz w:val="21"/>
          <w:szCs w:val="24"/>
          <w:lang w:val="en-US" w:eastAsia="zh-CN" w:bidi="ar-SA"/>
          <w14:textFill>
            <w14:solidFill>
              <w14:schemeClr w14:val="tx1"/>
            </w14:solidFill>
          </w14:textFill>
        </w:rPr>
        <w:t>、</w:t>
      </w:r>
      <w:r>
        <w:rPr>
          <w:rFonts w:hint="eastAsia" w:cs="宋体"/>
          <w:color w:val="000000" w:themeColor="text1"/>
          <w:kern w:val="2"/>
          <w:sz w:val="21"/>
          <w:szCs w:val="24"/>
          <w:lang w:val="en-US" w:eastAsia="zh-CN" w:bidi="ar-SA"/>
          <w14:textFill>
            <w14:solidFill>
              <w14:schemeClr w14:val="tx1"/>
            </w14:solidFill>
          </w14:textFill>
        </w:rPr>
        <w:t>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r>
        <w:rPr>
          <w:rFonts w:hint="eastAsia" w:ascii="宋体" w:hAnsi="宋体" w:eastAsia="宋体" w:cs="宋体"/>
          <w:color w:val="000000" w:themeColor="text1"/>
          <w:kern w:val="2"/>
          <w:sz w:val="21"/>
          <w:szCs w:val="24"/>
          <w:lang w:val="en-US" w:eastAsia="zh-CN" w:bidi="ar-SA"/>
          <w14:textFill>
            <w14:solidFill>
              <w14:schemeClr w14:val="tx1"/>
            </w14:solidFill>
          </w14:textFill>
        </w:rPr>
        <w:t>；</w:t>
      </w:r>
    </w:p>
    <w:p w14:paraId="296400A4">
      <w:pPr>
        <w:pStyle w:val="13"/>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lang w:val="en-US" w:eastAsia="zh-CN" w:bidi="ar-SA"/>
          <w14:textFill>
            <w14:solidFill>
              <w14:schemeClr w14:val="tx1"/>
            </w14:solidFill>
          </w14:textFill>
        </w:rPr>
      </w:pPr>
      <w:r>
        <w:rPr>
          <w:rFonts w:hint="eastAsia" w:ascii="宋体" w:hAnsi="宋体" w:eastAsia="宋体" w:cs="宋体"/>
          <w:color w:val="000000" w:themeColor="text1"/>
          <w:kern w:val="2"/>
          <w:sz w:val="21"/>
          <w:szCs w:val="24"/>
          <w:lang w:val="en-US" w:eastAsia="zh-CN" w:bidi="ar-SA"/>
          <w14:textFill>
            <w14:solidFill>
              <w14:schemeClr w14:val="tx1"/>
            </w14:solidFill>
          </w14:textFill>
        </w:rPr>
        <w:t>7、单位负责人为同一人或者存在直接控股、管理关系的不同供应商，不得参加同一合同项下的投标（提供书面声明函）。一经发现，将导致投标同时被拒绝。</w:t>
      </w:r>
    </w:p>
    <w:p w14:paraId="7FC9D7E1">
      <w:pPr>
        <w:pStyle w:val="13"/>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lang w:val="en-US" w:eastAsia="zh-CN" w:bidi="ar-SA"/>
          <w14:textFill>
            <w14:solidFill>
              <w14:schemeClr w14:val="tx1"/>
            </w14:solidFill>
          </w14:textFill>
        </w:rPr>
      </w:pPr>
      <w:r>
        <w:rPr>
          <w:rFonts w:hint="eastAsia" w:cs="宋体"/>
          <w:color w:val="000000" w:themeColor="text1"/>
          <w:kern w:val="2"/>
          <w:sz w:val="21"/>
          <w:szCs w:val="24"/>
          <w:lang w:val="en-US" w:eastAsia="zh-CN" w:bidi="ar-SA"/>
          <w14:textFill>
            <w14:solidFill>
              <w14:schemeClr w14:val="tx1"/>
            </w14:solidFill>
          </w14:textFill>
        </w:rPr>
        <w:t>8</w:t>
      </w:r>
      <w:r>
        <w:rPr>
          <w:rFonts w:hint="eastAsia" w:ascii="宋体" w:hAnsi="宋体" w:eastAsia="宋体" w:cs="宋体"/>
          <w:color w:val="000000" w:themeColor="text1"/>
          <w:kern w:val="2"/>
          <w:sz w:val="21"/>
          <w:szCs w:val="24"/>
          <w:lang w:val="en-US" w:eastAsia="zh-CN" w:bidi="ar-SA"/>
          <w14:textFill>
            <w14:solidFill>
              <w14:schemeClr w14:val="tx1"/>
            </w14:solidFill>
          </w14:textFill>
        </w:rPr>
        <w:t>、不接受联合体投标。</w:t>
      </w:r>
    </w:p>
    <w:p w14:paraId="557D30B2">
      <w:pPr>
        <w:keepNext w:val="0"/>
        <w:keepLines w:val="0"/>
        <w:widowControl/>
        <w:snapToGrid w:val="0"/>
        <w:spacing w:before="0" w:after="0" w:line="360" w:lineRule="auto"/>
        <w:jc w:val="left"/>
        <w:outlineLvl w:val="1"/>
        <w:rPr>
          <w:rFonts w:ascii="宋体" w:hAnsi="宋体" w:eastAsia="宋体" w:cs="宋体"/>
          <w:b/>
          <w:bCs/>
          <w:color w:val="auto"/>
          <w:kern w:val="2"/>
          <w:sz w:val="21"/>
          <w:szCs w:val="24"/>
          <w:lang w:val="en-US" w:eastAsia="zh-CN" w:bidi="ar-SA"/>
        </w:rPr>
      </w:pPr>
      <w:r>
        <w:rPr>
          <w:rFonts w:hint="eastAsia" w:ascii="宋体" w:hAnsi="宋体" w:cs="宋体"/>
          <w:b/>
          <w:bCs/>
          <w:color w:val="auto"/>
          <w:kern w:val="2"/>
          <w:sz w:val="21"/>
          <w:szCs w:val="24"/>
          <w:lang w:val="en-US" w:eastAsia="zh-CN" w:bidi="ar-SA"/>
        </w:rPr>
        <w:t>三</w:t>
      </w:r>
      <w:r>
        <w:rPr>
          <w:rFonts w:hint="eastAsia" w:ascii="宋体" w:hAnsi="宋体" w:eastAsia="宋体" w:cs="宋体"/>
          <w:b/>
          <w:bCs/>
          <w:color w:val="auto"/>
          <w:kern w:val="2"/>
          <w:sz w:val="21"/>
          <w:szCs w:val="24"/>
          <w:lang w:val="en-US" w:eastAsia="zh-CN" w:bidi="ar-SA"/>
        </w:rPr>
        <w:t>、获取采购文件</w:t>
      </w:r>
      <w:bookmarkEnd w:id="8"/>
      <w:bookmarkEnd w:id="9"/>
      <w:bookmarkEnd w:id="10"/>
      <w:bookmarkEnd w:id="11"/>
      <w:bookmarkEnd w:id="12"/>
    </w:p>
    <w:p w14:paraId="3BE8CAD0">
      <w:pPr>
        <w:widowControl/>
        <w:adjustRightInd w:val="0"/>
        <w:snapToGrid w:val="0"/>
        <w:spacing w:line="360" w:lineRule="auto"/>
        <w:ind w:firstLine="420" w:firstLineChars="200"/>
        <w:jc w:val="left"/>
        <w:rPr>
          <w:rFonts w:hint="default" w:ascii="宋体" w:hAnsi="宋体" w:eastAsia="宋体" w:cs="宋体"/>
          <w:color w:val="000000" w:themeColor="text1"/>
          <w:szCs w:val="21"/>
          <w:shd w:val="clear" w:color="auto" w:fill="FFFFFF"/>
          <w:lang w:val="en-US"/>
          <w14:textFill>
            <w14:solidFill>
              <w14:schemeClr w14:val="tx1"/>
            </w14:solidFill>
          </w14:textFill>
        </w:rPr>
      </w:pPr>
      <w:r>
        <w:rPr>
          <w:rFonts w:hint="eastAsia" w:ascii="宋体" w:hAnsi="宋体" w:eastAsia="宋体" w:cs="宋体"/>
          <w:color w:val="auto"/>
          <w:szCs w:val="21"/>
          <w:shd w:val="clear" w:color="auto" w:fill="FFFFFF"/>
        </w:rPr>
        <w:t>1</w:t>
      </w:r>
      <w:r>
        <w:rPr>
          <w:rFonts w:hint="eastAsia" w:ascii="宋体" w:hAnsi="宋体" w:cs="宋体"/>
          <w:color w:val="000000" w:themeColor="text1"/>
          <w:szCs w:val="21"/>
          <w:shd w:val="clear" w:color="auto" w:fill="FFFFFF"/>
          <w:lang w:val="en-US" w:eastAsia="zh-CN"/>
          <w14:textFill>
            <w14:solidFill>
              <w14:schemeClr w14:val="tx1"/>
            </w14:solidFill>
          </w14:textFill>
        </w:rPr>
        <w:t>报名</w:t>
      </w:r>
      <w:r>
        <w:rPr>
          <w:rFonts w:hint="eastAsia" w:ascii="宋体" w:hAnsi="宋体" w:eastAsia="宋体" w:cs="宋体"/>
          <w:color w:val="000000" w:themeColor="text1"/>
          <w:szCs w:val="21"/>
          <w:shd w:val="clear" w:color="auto" w:fill="FFFFFF"/>
          <w14:textFill>
            <w14:solidFill>
              <w14:schemeClr w14:val="tx1"/>
            </w14:solidFill>
          </w14:textFill>
        </w:rPr>
        <w:t>时间：</w:t>
      </w:r>
      <w:r>
        <w:rPr>
          <w:rFonts w:hint="eastAsia" w:ascii="宋体" w:hAnsi="宋体" w:eastAsia="宋体" w:cs="宋体"/>
          <w:color w:val="FF0000"/>
          <w:szCs w:val="21"/>
          <w:highlight w:val="none"/>
          <w:shd w:val="clear" w:color="auto" w:fill="FFFFFF"/>
        </w:rPr>
        <w:t>20</w:t>
      </w:r>
      <w:r>
        <w:rPr>
          <w:rFonts w:hint="eastAsia" w:ascii="宋体" w:hAnsi="宋体" w:cs="宋体"/>
          <w:color w:val="FF0000"/>
          <w:szCs w:val="21"/>
          <w:highlight w:val="none"/>
          <w:shd w:val="clear" w:color="auto" w:fill="FFFFFF"/>
          <w:lang w:val="en-US" w:eastAsia="zh-CN"/>
        </w:rPr>
        <w:t>24</w:t>
      </w:r>
      <w:r>
        <w:rPr>
          <w:rFonts w:hint="eastAsia" w:ascii="宋体" w:hAnsi="宋体" w:eastAsia="宋体" w:cs="宋体"/>
          <w:color w:val="FF0000"/>
          <w:szCs w:val="21"/>
          <w:highlight w:val="none"/>
          <w:shd w:val="clear" w:color="auto" w:fill="FFFFFF"/>
        </w:rPr>
        <w:t>年</w:t>
      </w:r>
      <w:r>
        <w:rPr>
          <w:rFonts w:hint="eastAsia" w:ascii="宋体" w:hAnsi="宋体" w:cs="宋体"/>
          <w:color w:val="FF0000"/>
          <w:szCs w:val="21"/>
          <w:highlight w:val="none"/>
          <w:shd w:val="clear" w:color="auto" w:fill="FFFFFF"/>
          <w:lang w:val="en-US" w:eastAsia="zh-CN"/>
        </w:rPr>
        <w:t>8</w:t>
      </w:r>
      <w:r>
        <w:rPr>
          <w:rFonts w:hint="eastAsia" w:ascii="宋体" w:hAnsi="宋体" w:eastAsia="宋体" w:cs="宋体"/>
          <w:color w:val="FF0000"/>
          <w:szCs w:val="21"/>
          <w:highlight w:val="none"/>
          <w:shd w:val="clear" w:color="auto" w:fill="FFFFFF"/>
        </w:rPr>
        <w:t>月</w:t>
      </w:r>
      <w:r>
        <w:rPr>
          <w:rFonts w:hint="eastAsia" w:ascii="宋体" w:hAnsi="宋体" w:cs="宋体"/>
          <w:color w:val="FF0000"/>
          <w:szCs w:val="21"/>
          <w:highlight w:val="none"/>
          <w:shd w:val="clear" w:color="auto" w:fill="FFFFFF"/>
          <w:lang w:val="en-US" w:eastAsia="zh-CN"/>
        </w:rPr>
        <w:t>22</w:t>
      </w:r>
      <w:r>
        <w:rPr>
          <w:rFonts w:hint="eastAsia" w:ascii="宋体" w:hAnsi="宋体" w:eastAsia="宋体" w:cs="宋体"/>
          <w:color w:val="FF0000"/>
          <w:szCs w:val="21"/>
          <w:highlight w:val="none"/>
          <w:shd w:val="clear" w:color="auto" w:fill="FFFFFF"/>
        </w:rPr>
        <w:t>日-202</w:t>
      </w:r>
      <w:r>
        <w:rPr>
          <w:rFonts w:hint="eastAsia" w:ascii="宋体" w:hAnsi="宋体" w:cs="宋体"/>
          <w:color w:val="FF0000"/>
          <w:szCs w:val="21"/>
          <w:highlight w:val="none"/>
          <w:shd w:val="clear" w:color="auto" w:fill="FFFFFF"/>
          <w:lang w:val="en-US" w:eastAsia="zh-CN"/>
        </w:rPr>
        <w:t>4</w:t>
      </w:r>
      <w:r>
        <w:rPr>
          <w:rFonts w:hint="eastAsia" w:ascii="宋体" w:hAnsi="宋体" w:eastAsia="宋体" w:cs="宋体"/>
          <w:color w:val="FF0000"/>
          <w:szCs w:val="21"/>
          <w:highlight w:val="none"/>
          <w:shd w:val="clear" w:color="auto" w:fill="FFFFFF"/>
        </w:rPr>
        <w:t>年</w:t>
      </w:r>
      <w:r>
        <w:rPr>
          <w:rFonts w:hint="eastAsia" w:ascii="宋体" w:hAnsi="宋体" w:cs="宋体"/>
          <w:color w:val="FF0000"/>
          <w:szCs w:val="21"/>
          <w:highlight w:val="none"/>
          <w:shd w:val="clear" w:color="auto" w:fill="FFFFFF"/>
          <w:lang w:val="en-US" w:eastAsia="zh-CN"/>
        </w:rPr>
        <w:t>8</w:t>
      </w:r>
      <w:r>
        <w:rPr>
          <w:rFonts w:hint="eastAsia" w:ascii="宋体" w:hAnsi="宋体" w:eastAsia="宋体" w:cs="宋体"/>
          <w:color w:val="FF0000"/>
          <w:szCs w:val="21"/>
          <w:highlight w:val="none"/>
          <w:shd w:val="clear" w:color="auto" w:fill="FFFFFF"/>
        </w:rPr>
        <w:t>月</w:t>
      </w:r>
      <w:r>
        <w:rPr>
          <w:rFonts w:hint="eastAsia" w:ascii="宋体" w:hAnsi="宋体" w:cs="宋体"/>
          <w:color w:val="FF0000"/>
          <w:szCs w:val="21"/>
          <w:highlight w:val="none"/>
          <w:shd w:val="clear" w:color="auto" w:fill="FFFFFF"/>
          <w:lang w:val="en-US" w:eastAsia="zh-CN"/>
        </w:rPr>
        <w:t xml:space="preserve"> 26</w:t>
      </w:r>
      <w:r>
        <w:rPr>
          <w:rFonts w:hint="eastAsia" w:ascii="宋体" w:hAnsi="宋体" w:eastAsia="宋体" w:cs="宋体"/>
          <w:color w:val="FF0000"/>
          <w:szCs w:val="21"/>
          <w:highlight w:val="none"/>
          <w:shd w:val="clear" w:color="auto" w:fill="FFFFFF"/>
        </w:rPr>
        <w:t>日</w:t>
      </w:r>
      <w:r>
        <w:rPr>
          <w:rFonts w:hint="eastAsia" w:ascii="宋体" w:hAnsi="宋体" w:eastAsia="宋体" w:cs="宋体"/>
          <w:color w:val="000000" w:themeColor="text1"/>
          <w:szCs w:val="21"/>
          <w:shd w:val="clear" w:color="auto" w:fill="FFFFFF"/>
          <w14:textFill>
            <w14:solidFill>
              <w14:schemeClr w14:val="tx1"/>
            </w14:solidFill>
          </w14:textFill>
        </w:rPr>
        <w:t>，上午8：30-11:30，下午14:30-17:30（北京时间，法定节假日除外）</w:t>
      </w:r>
      <w:r>
        <w:rPr>
          <w:rFonts w:hint="eastAsia" w:ascii="宋体" w:hAnsi="宋体" w:cs="宋体"/>
          <w:color w:val="000000" w:themeColor="text1"/>
          <w:szCs w:val="21"/>
          <w:shd w:val="clear" w:color="auto" w:fill="FFFFFF"/>
          <w:lang w:val="en-US" w:eastAsia="zh-CN"/>
          <w14:textFill>
            <w14:solidFill>
              <w14:schemeClr w14:val="tx1"/>
            </w14:solidFill>
          </w14:textFill>
        </w:rPr>
        <w:t>。</w:t>
      </w:r>
    </w:p>
    <w:p w14:paraId="2712A543">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2.凡报名成功的供应商无故不来参与投标的，列入我院黑名</w:t>
      </w:r>
      <w:r>
        <w:rPr>
          <w:rFonts w:hint="eastAsia" w:ascii="宋体" w:hAnsi="宋体" w:eastAsia="宋体" w:cs="宋体"/>
          <w:color w:val="auto"/>
          <w:kern w:val="0"/>
          <w:sz w:val="21"/>
          <w:szCs w:val="21"/>
          <w:shd w:val="clear" w:color="auto" w:fill="FFFFFF"/>
          <w:lang w:val="en-US" w:eastAsia="zh-CN" w:bidi="ar-SA"/>
        </w:rPr>
        <w:t xml:space="preserve">单，一年内不得参与我院任何采购活动。中标供应商缴纳相应服务费。 </w:t>
      </w:r>
    </w:p>
    <w:p w14:paraId="44679A3C">
      <w:pPr>
        <w:widowControl/>
        <w:wordWrap w:val="0"/>
        <w:snapToGrid w:val="0"/>
        <w:spacing w:before="0" w:beforeAutospacing="0" w:after="0" w:afterAutospacing="0" w:line="360" w:lineRule="auto"/>
        <w:ind w:left="0" w:leftChars="0" w:firstLine="420" w:firstLineChars="200"/>
        <w:jc w:val="left"/>
        <w:rPr>
          <w:rFonts w:ascii="宋体" w:hAnsi="宋体" w:eastAsia="宋体" w:cs="宋体"/>
          <w:color w:val="auto"/>
          <w:kern w:val="0"/>
          <w:sz w:val="21"/>
          <w:szCs w:val="21"/>
          <w:u w:val="single"/>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"mailto:hnwxzb2@163.com并标明XX"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cs="宋体"/>
          <w:color w:val="auto"/>
          <w:kern w:val="0"/>
          <w:sz w:val="21"/>
          <w:szCs w:val="21"/>
          <w:shd w:val="clear" w:color="auto" w:fill="FFFFFF"/>
          <w:lang w:val="en-US" w:eastAsia="zh-CN" w:bidi="ar-SA"/>
        </w:rPr>
        <w:t>1150105437</w:t>
      </w:r>
      <w:r>
        <w:rPr>
          <w:rFonts w:hint="eastAsia" w:ascii="宋体" w:hAnsi="宋体" w:eastAsia="宋体" w:cs="宋体"/>
          <w:color w:val="auto"/>
          <w:kern w:val="0"/>
          <w:sz w:val="21"/>
          <w:szCs w:val="21"/>
          <w:shd w:val="clear" w:color="auto" w:fill="FFFFFF"/>
          <w:lang w:val="en-US" w:eastAsia="zh-CN" w:bidi="ar-SA"/>
        </w:rPr>
        <w:t>@qq.com并标明XX公司XX</w:t>
      </w:r>
      <w:r>
        <w:rPr>
          <w:rFonts w:hint="eastAsia" w:ascii="宋体" w:hAnsi="宋体" w:eastAsia="宋体" w:cs="宋体"/>
          <w:color w:val="auto"/>
          <w:kern w:val="0"/>
          <w:sz w:val="21"/>
          <w:szCs w:val="21"/>
          <w:shd w:val="clear" w:color="auto" w:fill="FFFFFF"/>
          <w:lang w:val="en-US" w:eastAsia="zh-CN" w:bidi="ar-SA"/>
        </w:rPr>
        <w:fldChar w:fldCharType="end"/>
      </w:r>
      <w:r>
        <w:rPr>
          <w:rFonts w:hint="eastAsia" w:ascii="宋体" w:hAnsi="宋体" w:eastAsia="宋体" w:cs="宋体"/>
          <w:color w:val="auto"/>
          <w:kern w:val="0"/>
          <w:sz w:val="21"/>
          <w:szCs w:val="21"/>
          <w:shd w:val="clear" w:color="auto" w:fill="FFFFFF"/>
          <w:lang w:val="en-US" w:eastAsia="zh-CN" w:bidi="ar-SA"/>
        </w:rPr>
        <w:t>项目报名资料。</w:t>
      </w:r>
    </w:p>
    <w:p w14:paraId="22095ACC">
      <w:pPr>
        <w:widowControl/>
        <w:wordWrap w:val="0"/>
        <w:snapToGrid w:val="0"/>
        <w:spacing w:before="0" w:beforeAutospacing="0" w:after="0" w:afterAutospacing="0" w:line="360" w:lineRule="auto"/>
        <w:ind w:left="420" w:left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4.报名登记表：请从附件中下载。</w:t>
      </w:r>
    </w:p>
    <w:p w14:paraId="49DFA5F5">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bookmarkStart w:id="13" w:name="_Toc25869"/>
      <w:bookmarkStart w:id="14" w:name="_Toc15135"/>
      <w:bookmarkStart w:id="15" w:name="_Toc27480"/>
      <w:bookmarkStart w:id="16" w:name="_Toc15111"/>
      <w:bookmarkStart w:id="17" w:name="_Toc10738"/>
      <w:r>
        <w:rPr>
          <w:rFonts w:hint="eastAsia" w:ascii="宋体" w:hAnsi="宋体" w:cs="宋体"/>
          <w:b/>
          <w:bCs/>
          <w:color w:val="auto"/>
          <w:kern w:val="2"/>
          <w:sz w:val="21"/>
          <w:szCs w:val="21"/>
          <w:shd w:val="clear" w:color="auto" w:fill="FFFFFF"/>
          <w:lang w:val="en-US" w:eastAsia="zh-CN" w:bidi="ar-SA"/>
        </w:rPr>
        <w:t>四</w:t>
      </w:r>
      <w:r>
        <w:rPr>
          <w:rFonts w:hint="eastAsia" w:ascii="宋体" w:hAnsi="宋体" w:eastAsia="宋体" w:cs="宋体"/>
          <w:b/>
          <w:bCs/>
          <w:color w:val="auto"/>
          <w:kern w:val="2"/>
          <w:sz w:val="21"/>
          <w:szCs w:val="21"/>
          <w:shd w:val="clear" w:color="auto" w:fill="FFFFFF"/>
          <w:lang w:val="en-US" w:eastAsia="zh-CN" w:bidi="ar-SA"/>
        </w:rPr>
        <w:t>、投标截止时间及地点</w:t>
      </w:r>
      <w:bookmarkEnd w:id="13"/>
      <w:bookmarkEnd w:id="14"/>
      <w:bookmarkEnd w:id="15"/>
      <w:bookmarkEnd w:id="16"/>
      <w:bookmarkEnd w:id="17"/>
    </w:p>
    <w:p w14:paraId="00F77849">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14:paraId="67B16DAC">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14:paraId="45D5C65C">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r>
        <w:rPr>
          <w:rFonts w:hint="eastAsia" w:ascii="宋体" w:hAnsi="宋体" w:cs="宋体"/>
          <w:b/>
          <w:bCs/>
          <w:color w:val="auto"/>
          <w:kern w:val="2"/>
          <w:sz w:val="21"/>
          <w:szCs w:val="21"/>
          <w:shd w:val="clear" w:color="auto" w:fill="FFFFFF"/>
          <w:lang w:val="en-US" w:eastAsia="zh-CN" w:bidi="ar-SA"/>
        </w:rPr>
        <w:t>五</w:t>
      </w:r>
      <w:r>
        <w:rPr>
          <w:rFonts w:hint="eastAsia" w:ascii="宋体" w:hAnsi="宋体" w:eastAsia="宋体" w:cs="宋体"/>
          <w:b/>
          <w:bCs/>
          <w:color w:val="auto"/>
          <w:kern w:val="2"/>
          <w:sz w:val="21"/>
          <w:szCs w:val="21"/>
          <w:shd w:val="clear" w:color="auto" w:fill="FFFFFF"/>
          <w:lang w:val="en-US" w:eastAsia="zh-CN" w:bidi="ar-SA"/>
        </w:rPr>
        <w:t>、开标时间及地点</w:t>
      </w:r>
    </w:p>
    <w:p w14:paraId="43CEB908">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cs="宋体"/>
          <w:color w:val="auto"/>
          <w:sz w:val="21"/>
          <w:szCs w:val="21"/>
          <w:shd w:val="clear" w:color="auto" w:fill="auto"/>
          <w:lang w:val="en-US" w:eastAsia="zh-CN"/>
        </w:rPr>
        <w:t>另行通知</w:t>
      </w:r>
      <w:r>
        <w:rPr>
          <w:rFonts w:hint="eastAsia" w:ascii="宋体" w:hAnsi="宋体" w:cs="宋体"/>
          <w:color w:val="auto"/>
          <w:kern w:val="0"/>
          <w:sz w:val="21"/>
          <w:szCs w:val="21"/>
          <w:highlight w:val="none"/>
          <w:shd w:val="clear" w:color="auto" w:fill="FFFFFF"/>
          <w:lang w:val="en-US" w:eastAsia="zh-CN" w:bidi="ar-SA"/>
        </w:rPr>
        <w:t>。</w:t>
      </w:r>
    </w:p>
    <w:p w14:paraId="28DE4C06">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14:paraId="32DBF2C7">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bookmarkStart w:id="18" w:name="_Toc20287"/>
      <w:bookmarkStart w:id="19" w:name="_Toc29784"/>
      <w:bookmarkStart w:id="20" w:name="_Toc6523"/>
      <w:bookmarkStart w:id="21" w:name="_Toc30918"/>
      <w:r>
        <w:rPr>
          <w:rFonts w:hint="eastAsia" w:ascii="宋体" w:hAnsi="宋体" w:cs="宋体"/>
          <w:b/>
          <w:bCs/>
          <w:color w:val="auto"/>
          <w:kern w:val="2"/>
          <w:sz w:val="21"/>
          <w:szCs w:val="21"/>
          <w:shd w:val="clear" w:color="auto" w:fill="FFFFFF"/>
          <w:lang w:val="en-US" w:eastAsia="zh-CN" w:bidi="ar-SA"/>
        </w:rPr>
        <w:t>六</w:t>
      </w:r>
      <w:r>
        <w:rPr>
          <w:rFonts w:hint="eastAsia" w:ascii="宋体" w:hAnsi="宋体" w:eastAsia="宋体" w:cs="宋体"/>
          <w:b/>
          <w:bCs/>
          <w:color w:val="auto"/>
          <w:kern w:val="2"/>
          <w:sz w:val="21"/>
          <w:szCs w:val="21"/>
          <w:shd w:val="clear" w:color="auto" w:fill="FFFFFF"/>
          <w:lang w:val="en-US" w:eastAsia="zh-CN" w:bidi="ar-SA"/>
        </w:rPr>
        <w:t>、发布公告的媒介及</w:t>
      </w:r>
      <w:r>
        <w:rPr>
          <w:rFonts w:hint="eastAsia" w:ascii="宋体" w:hAnsi="宋体" w:eastAsia="宋体" w:cs="宋体"/>
          <w:b/>
          <w:bCs/>
          <w:color w:val="auto"/>
          <w:sz w:val="21"/>
          <w:szCs w:val="21"/>
          <w:shd w:val="clear" w:color="auto" w:fill="auto"/>
          <w:lang w:val="en-US" w:eastAsia="zh-CN"/>
        </w:rPr>
        <w:t>采购</w:t>
      </w:r>
      <w:r>
        <w:rPr>
          <w:rFonts w:hint="eastAsia" w:ascii="宋体" w:hAnsi="宋体" w:eastAsia="宋体" w:cs="宋体"/>
          <w:b/>
          <w:bCs/>
          <w:color w:val="auto"/>
          <w:kern w:val="2"/>
          <w:sz w:val="21"/>
          <w:szCs w:val="21"/>
          <w:shd w:val="clear" w:color="auto" w:fill="FFFFFF"/>
          <w:lang w:val="en-US" w:eastAsia="zh-CN" w:bidi="ar-SA"/>
        </w:rPr>
        <w:t>公告期限</w:t>
      </w:r>
      <w:bookmarkEnd w:id="18"/>
      <w:bookmarkEnd w:id="19"/>
      <w:bookmarkEnd w:id="20"/>
      <w:bookmarkEnd w:id="21"/>
    </w:p>
    <w:p w14:paraId="155FF47C">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本次</w:t>
      </w:r>
      <w:r>
        <w:rPr>
          <w:rFonts w:hint="eastAsia" w:ascii="宋体" w:hAnsi="宋体" w:eastAsia="宋体" w:cs="宋体"/>
          <w:color w:val="auto"/>
          <w:sz w:val="21"/>
          <w:szCs w:val="21"/>
          <w:shd w:val="clear" w:color="auto" w:fill="auto"/>
          <w:lang w:val="en-US" w:eastAsia="zh-CN"/>
        </w:rPr>
        <w:t>采购</w:t>
      </w:r>
      <w:r>
        <w:rPr>
          <w:rFonts w:hint="eastAsia" w:ascii="宋体" w:hAnsi="宋体" w:eastAsia="宋体" w:cs="宋体"/>
          <w:color w:val="auto"/>
          <w:kern w:val="0"/>
          <w:sz w:val="21"/>
          <w:szCs w:val="21"/>
          <w:shd w:val="clear" w:color="auto" w:fill="FFFFFF"/>
          <w:lang w:val="en-US" w:eastAsia="zh-CN" w:bidi="ar-SA"/>
        </w:rPr>
        <w:t>公告在《驻马店市中心医院》</w:t>
      </w:r>
      <w:r>
        <w:rPr>
          <w:rFonts w:hint="eastAsia" w:ascii="宋体" w:hAnsi="宋体" w:cs="宋体"/>
          <w:color w:val="auto"/>
          <w:kern w:val="0"/>
          <w:sz w:val="21"/>
          <w:szCs w:val="21"/>
          <w:shd w:val="clear" w:color="auto" w:fill="FFFFFF"/>
          <w:lang w:val="en-US" w:eastAsia="zh-CN" w:bidi="ar-SA"/>
        </w:rPr>
        <w:t>院内</w:t>
      </w:r>
      <w:r>
        <w:rPr>
          <w:rFonts w:hint="eastAsia" w:ascii="宋体" w:hAnsi="宋体" w:eastAsia="宋体" w:cs="宋体"/>
          <w:color w:val="auto"/>
          <w:kern w:val="0"/>
          <w:sz w:val="21"/>
          <w:szCs w:val="21"/>
          <w:shd w:val="clear" w:color="auto" w:fill="FFFFFF"/>
          <w:lang w:val="en-US" w:eastAsia="zh-CN" w:bidi="ar-SA"/>
        </w:rPr>
        <w:t>网</w:t>
      </w:r>
      <w:r>
        <w:rPr>
          <w:rFonts w:hint="eastAsia" w:ascii="宋体" w:hAnsi="宋体" w:eastAsia="宋体" w:cs="宋体"/>
          <w:color w:val="auto"/>
          <w:sz w:val="21"/>
          <w:szCs w:val="21"/>
          <w:shd w:val="clear" w:color="auto" w:fill="auto"/>
        </w:rPr>
        <w:t>上发布</w:t>
      </w:r>
      <w:r>
        <w:rPr>
          <w:rFonts w:hint="eastAsia" w:ascii="宋体" w:hAnsi="宋体" w:cs="宋体"/>
          <w:color w:val="auto"/>
          <w:sz w:val="21"/>
          <w:szCs w:val="21"/>
          <w:highlight w:val="none"/>
          <w:shd w:val="clear" w:color="auto" w:fill="auto"/>
          <w:lang w:eastAsia="zh-CN"/>
        </w:rPr>
        <w:t>，</w:t>
      </w:r>
      <w:r>
        <w:rPr>
          <w:rFonts w:hint="eastAsia" w:ascii="宋体" w:hAnsi="宋体" w:eastAsia="宋体" w:cs="宋体"/>
          <w:color w:val="auto"/>
          <w:sz w:val="21"/>
          <w:szCs w:val="21"/>
          <w:shd w:val="clear" w:color="auto" w:fill="auto"/>
          <w:lang w:val="en-US" w:eastAsia="zh-CN"/>
        </w:rPr>
        <w:t>采购</w:t>
      </w:r>
      <w:r>
        <w:rPr>
          <w:rFonts w:hint="eastAsia" w:ascii="宋体" w:hAnsi="宋体" w:cs="宋体"/>
          <w:color w:val="auto"/>
          <w:sz w:val="21"/>
          <w:szCs w:val="21"/>
          <w:highlight w:val="none"/>
          <w:shd w:val="clear" w:color="auto" w:fill="auto"/>
          <w:lang w:eastAsia="zh-CN"/>
        </w:rPr>
        <w:t>公告期限为</w:t>
      </w:r>
      <w:r>
        <w:rPr>
          <w:rFonts w:hint="eastAsia" w:ascii="宋体" w:hAnsi="宋体" w:cs="宋体"/>
          <w:color w:val="auto"/>
          <w:sz w:val="21"/>
          <w:szCs w:val="21"/>
          <w:highlight w:val="none"/>
          <w:shd w:val="clear" w:color="auto" w:fill="auto"/>
          <w:lang w:val="en-US" w:eastAsia="zh-CN"/>
        </w:rPr>
        <w:t>三</w:t>
      </w:r>
      <w:r>
        <w:rPr>
          <w:rFonts w:hint="eastAsia" w:ascii="宋体" w:hAnsi="宋体" w:cs="宋体"/>
          <w:color w:val="auto"/>
          <w:sz w:val="21"/>
          <w:szCs w:val="21"/>
          <w:highlight w:val="none"/>
          <w:shd w:val="clear" w:color="auto" w:fill="auto"/>
          <w:lang w:eastAsia="zh-CN"/>
        </w:rPr>
        <w:t>个工作日</w:t>
      </w:r>
      <w:r>
        <w:rPr>
          <w:rFonts w:hint="eastAsia" w:ascii="宋体" w:hAnsi="宋体" w:eastAsia="宋体" w:cs="宋体"/>
          <w:color w:val="auto"/>
          <w:kern w:val="0"/>
          <w:sz w:val="21"/>
          <w:szCs w:val="21"/>
          <w:highlight w:val="none"/>
          <w:shd w:val="clear" w:color="auto" w:fill="FFFFFF"/>
          <w:lang w:val="en-US" w:eastAsia="zh-CN" w:bidi="ar-SA"/>
        </w:rPr>
        <w:t>。</w:t>
      </w:r>
      <w:bookmarkStart w:id="22" w:name="_Toc35393795"/>
      <w:bookmarkStart w:id="23" w:name="_Toc35393626"/>
    </w:p>
    <w:bookmarkEnd w:id="22"/>
    <w:bookmarkEnd w:id="23"/>
    <w:p w14:paraId="35E1E246">
      <w:pPr>
        <w:keepNext w:val="0"/>
        <w:keepLines w:val="0"/>
        <w:widowControl/>
        <w:snapToGrid w:val="0"/>
        <w:spacing w:before="0" w:after="0" w:line="360" w:lineRule="auto"/>
        <w:jc w:val="left"/>
        <w:outlineLvl w:val="1"/>
        <w:rPr>
          <w:rFonts w:ascii="宋体" w:hAnsi="宋体" w:eastAsia="宋体" w:cs="宋体"/>
          <w:b/>
          <w:bCs/>
          <w:color w:val="auto"/>
          <w:kern w:val="2"/>
          <w:sz w:val="21"/>
          <w:szCs w:val="21"/>
          <w:highlight w:val="none"/>
          <w:lang w:val="en-US" w:eastAsia="zh-CN" w:bidi="ar-SA"/>
        </w:rPr>
      </w:pPr>
      <w:bookmarkStart w:id="24" w:name="_Toc27370"/>
      <w:bookmarkStart w:id="25" w:name="_Toc16291"/>
      <w:bookmarkStart w:id="26" w:name="_Toc3604"/>
      <w:bookmarkStart w:id="27" w:name="_Toc24274"/>
      <w:bookmarkStart w:id="28" w:name="_Toc31928"/>
      <w:r>
        <w:rPr>
          <w:rFonts w:hint="eastAsia" w:ascii="宋体" w:hAnsi="宋体" w:cs="宋体"/>
          <w:b/>
          <w:bCs/>
          <w:color w:val="auto"/>
          <w:kern w:val="2"/>
          <w:sz w:val="21"/>
          <w:szCs w:val="21"/>
          <w:shd w:val="clear" w:color="auto" w:fill="FFFFFF"/>
          <w:lang w:val="en-US" w:eastAsia="zh-CN" w:bidi="ar-SA"/>
        </w:rPr>
        <w:t>七</w:t>
      </w:r>
      <w:r>
        <w:rPr>
          <w:rFonts w:hint="eastAsia" w:ascii="宋体" w:hAnsi="宋体" w:eastAsia="宋体" w:cs="宋体"/>
          <w:b/>
          <w:bCs/>
          <w:color w:val="auto"/>
          <w:kern w:val="2"/>
          <w:sz w:val="21"/>
          <w:szCs w:val="21"/>
          <w:shd w:val="clear" w:color="auto" w:fill="FFFFFF"/>
          <w:lang w:val="en-US" w:eastAsia="zh-CN" w:bidi="ar-SA"/>
        </w:rPr>
        <w:t>、</w:t>
      </w:r>
      <w:bookmarkEnd w:id="24"/>
      <w:bookmarkEnd w:id="25"/>
      <w:bookmarkEnd w:id="26"/>
      <w:bookmarkEnd w:id="27"/>
      <w:bookmarkEnd w:id="28"/>
      <w:r>
        <w:rPr>
          <w:rFonts w:hint="eastAsia" w:ascii="宋体" w:hAnsi="宋体" w:eastAsia="宋体" w:cs="宋体"/>
          <w:b/>
          <w:bCs/>
          <w:color w:val="auto"/>
          <w:kern w:val="2"/>
          <w:sz w:val="21"/>
          <w:szCs w:val="21"/>
          <w:highlight w:val="none"/>
          <w:shd w:val="clear" w:color="auto" w:fill="FFFFFF"/>
          <w:lang w:val="en-US" w:eastAsia="zh-CN" w:bidi="ar-SA"/>
        </w:rPr>
        <w:t>凡对本次招标提出询问，请按照以下方式联系</w:t>
      </w:r>
    </w:p>
    <w:p w14:paraId="1691E696">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报名联系人：</w:t>
      </w:r>
      <w:r>
        <w:rPr>
          <w:rFonts w:hint="eastAsia" w:ascii="宋体" w:hAnsi="宋体" w:cs="宋体"/>
          <w:color w:val="auto"/>
          <w:kern w:val="0"/>
          <w:sz w:val="21"/>
          <w:szCs w:val="21"/>
          <w:shd w:val="clear" w:color="auto" w:fill="FFFFFF"/>
          <w:lang w:val="en-US" w:eastAsia="zh-CN" w:bidi="ar-SA"/>
        </w:rPr>
        <w:t>王女士</w:t>
      </w:r>
    </w:p>
    <w:p w14:paraId="4C6E6C22">
      <w:pPr>
        <w:widowControl/>
        <w:snapToGrid w:val="0"/>
        <w:spacing w:before="0" w:beforeAutospacing="0" w:after="0" w:afterAutospacing="0" w:line="360" w:lineRule="auto"/>
        <w:ind w:firstLine="420" w:firstLineChars="200"/>
        <w:jc w:val="left"/>
        <w:rPr>
          <w:rFonts w:hint="default"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联系电话：1</w:t>
      </w:r>
      <w:r>
        <w:rPr>
          <w:rFonts w:hint="eastAsia" w:ascii="宋体" w:hAnsi="宋体" w:cs="宋体"/>
          <w:color w:val="auto"/>
          <w:kern w:val="0"/>
          <w:sz w:val="21"/>
          <w:szCs w:val="21"/>
          <w:shd w:val="clear" w:color="auto" w:fill="FFFFFF"/>
          <w:lang w:val="en-US" w:eastAsia="zh-CN" w:bidi="ar-SA"/>
        </w:rPr>
        <w:t>8639627370</w:t>
      </w:r>
    </w:p>
    <w:p w14:paraId="226816EE">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联系人：陈先生</w:t>
      </w:r>
    </w:p>
    <w:p w14:paraId="3867FD3B">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联系电话：0396-2726379</w:t>
      </w:r>
    </w:p>
    <w:p w14:paraId="392B228D">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"mailto:zxyyjzcgbgs@163.com"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eastAsia="宋体" w:cs="宋体"/>
          <w:color w:val="auto"/>
          <w:kern w:val="0"/>
          <w:sz w:val="21"/>
          <w:szCs w:val="21"/>
          <w:shd w:val="clear" w:color="auto" w:fill="FFFFFF"/>
          <w:lang w:val="en-US" w:eastAsia="zh-CN" w:bidi="ar-SA"/>
        </w:rPr>
        <w:t>zxyyjzcgbgs@163.com</w:t>
      </w:r>
      <w:r>
        <w:rPr>
          <w:rFonts w:hint="eastAsia" w:ascii="宋体" w:hAnsi="宋体" w:eastAsia="宋体" w:cs="宋体"/>
          <w:color w:val="auto"/>
          <w:kern w:val="0"/>
          <w:sz w:val="21"/>
          <w:szCs w:val="21"/>
          <w:shd w:val="clear" w:color="auto" w:fill="FFFFFF"/>
          <w:lang w:val="en-US" w:eastAsia="zh-CN" w:bidi="ar-SA"/>
        </w:rPr>
        <w:fldChar w:fldCharType="end"/>
      </w:r>
    </w:p>
    <w:p w14:paraId="559D67CF">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监督部门：驻马店市中心医院纪检监察室</w:t>
      </w:r>
    </w:p>
    <w:p w14:paraId="7FF06053">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监督电话：0396-2726678</w:t>
      </w:r>
    </w:p>
    <w:p w14:paraId="41A1A838">
      <w:pPr>
        <w:pStyle w:val="30"/>
        <w:rPr>
          <w:rFonts w:hint="eastAsia"/>
          <w:lang w:val="en-US" w:eastAsia="zh-CN"/>
        </w:rPr>
      </w:pPr>
    </w:p>
    <w:p w14:paraId="00C37154">
      <w:pPr>
        <w:widowControl/>
        <w:snapToGrid w:val="0"/>
        <w:spacing w:before="0" w:beforeAutospacing="0" w:after="0" w:afterAutospacing="0" w:line="360" w:lineRule="auto"/>
        <w:ind w:firstLine="420" w:firstLineChars="200"/>
        <w:jc w:val="right"/>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kern w:val="0"/>
          <w:sz w:val="21"/>
          <w:szCs w:val="21"/>
          <w:shd w:val="clear" w:color="auto" w:fill="FFFFFF"/>
          <w:lang w:val="en-US" w:eastAsia="zh-CN" w:bidi="ar-SA"/>
        </w:rPr>
        <w:t>驻马</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店市中心医院采购科</w:t>
      </w:r>
    </w:p>
    <w:p w14:paraId="043ED50F">
      <w:pPr>
        <w:pStyle w:val="28"/>
        <w:widowControl/>
        <w:snapToGrid w:val="0"/>
        <w:spacing w:before="0" w:beforeAutospacing="0" w:after="0" w:afterAutospacing="0" w:line="360" w:lineRule="auto"/>
        <w:ind w:firstLine="420" w:firstLineChars="200"/>
        <w:jc w:val="center"/>
        <w:rPr>
          <w:rFonts w:ascii="宋体" w:hAnsi="宋体" w:cs="宋体"/>
          <w:color w:val="000000" w:themeColor="text1"/>
          <w:sz w:val="21"/>
          <w:szCs w:val="21"/>
          <w:highlight w:val="none"/>
          <w:shd w:val="clear" w:color="auto" w:fill="FFFFFF"/>
          <w14:textFill>
            <w14:solidFill>
              <w14:schemeClr w14:val="tx1"/>
            </w14:solidFill>
          </w14:textFill>
        </w:rPr>
      </w:pPr>
      <w:r>
        <w:rPr>
          <w:rFonts w:hint="eastAsia" w:ascii="宋体" w:hAnsi="宋体" w:cs="宋体"/>
          <w:color w:val="000000" w:themeColor="text1"/>
          <w:kern w:val="0"/>
          <w:sz w:val="21"/>
          <w:szCs w:val="21"/>
          <w:shd w:val="clear" w:color="auto" w:fill="FFFFFF"/>
          <w:lang w:val="en-US" w:eastAsia="zh-CN" w:bidi="ar-SA"/>
          <w14:textFill>
            <w14:solidFill>
              <w14:schemeClr w14:val="tx1"/>
            </w14:solidFill>
          </w14:textFill>
        </w:rPr>
        <w:t xml:space="preserve">                                                     </w:t>
      </w:r>
      <w:r>
        <w:rPr>
          <w:rFonts w:hint="eastAsia" w:ascii="宋体" w:hAnsi="宋体" w:cs="宋体"/>
          <w:color w:val="auto"/>
          <w:kern w:val="0"/>
          <w:sz w:val="21"/>
          <w:szCs w:val="21"/>
          <w:shd w:val="clear" w:color="auto" w:fill="FFFFFF"/>
          <w:lang w:val="en-US" w:eastAsia="zh-CN" w:bidi="ar-SA"/>
        </w:rPr>
        <w:t xml:space="preserve">    </w:t>
      </w:r>
      <w:r>
        <w:rPr>
          <w:rFonts w:hint="eastAsia" w:ascii="宋体" w:hAnsi="宋体" w:eastAsia="宋体" w:cs="宋体"/>
          <w:color w:val="FF0000"/>
          <w:kern w:val="0"/>
          <w:sz w:val="21"/>
          <w:szCs w:val="21"/>
          <w:highlight w:val="none"/>
          <w:shd w:val="clear" w:color="auto" w:fill="FFFFFF"/>
          <w:lang w:val="en-US" w:eastAsia="zh-CN" w:bidi="ar-SA"/>
        </w:rPr>
        <w:t>202</w:t>
      </w:r>
      <w:r>
        <w:rPr>
          <w:rFonts w:hint="eastAsia" w:ascii="宋体" w:hAnsi="宋体" w:cs="宋体"/>
          <w:color w:val="FF0000"/>
          <w:kern w:val="0"/>
          <w:sz w:val="21"/>
          <w:szCs w:val="21"/>
          <w:highlight w:val="none"/>
          <w:shd w:val="clear" w:color="auto" w:fill="FFFFFF"/>
          <w:lang w:val="en-US" w:eastAsia="zh-CN" w:bidi="ar-SA"/>
        </w:rPr>
        <w:t>4</w:t>
      </w:r>
      <w:r>
        <w:rPr>
          <w:rFonts w:hint="eastAsia" w:ascii="宋体" w:hAnsi="宋体" w:eastAsia="宋体" w:cs="宋体"/>
          <w:color w:val="FF0000"/>
          <w:kern w:val="0"/>
          <w:sz w:val="21"/>
          <w:szCs w:val="21"/>
          <w:highlight w:val="none"/>
          <w:shd w:val="clear" w:color="auto" w:fill="FFFFFF"/>
          <w:lang w:val="en-US" w:eastAsia="zh-CN" w:bidi="ar-SA"/>
        </w:rPr>
        <w:t>年</w:t>
      </w:r>
      <w:r>
        <w:rPr>
          <w:rFonts w:hint="eastAsia" w:ascii="宋体" w:hAnsi="宋体" w:cs="宋体"/>
          <w:color w:val="FF0000"/>
          <w:kern w:val="0"/>
          <w:sz w:val="21"/>
          <w:szCs w:val="21"/>
          <w:highlight w:val="none"/>
          <w:shd w:val="clear" w:color="auto" w:fill="FFFFFF"/>
          <w:lang w:val="en-US" w:eastAsia="zh-CN" w:bidi="ar-SA"/>
        </w:rPr>
        <w:t>8</w:t>
      </w:r>
      <w:r>
        <w:rPr>
          <w:rFonts w:hint="eastAsia" w:ascii="宋体" w:hAnsi="宋体" w:eastAsia="宋体" w:cs="宋体"/>
          <w:color w:val="FF0000"/>
          <w:kern w:val="0"/>
          <w:sz w:val="21"/>
          <w:szCs w:val="21"/>
          <w:highlight w:val="none"/>
          <w:shd w:val="clear" w:color="auto" w:fill="FFFFFF"/>
          <w:lang w:val="en-US" w:eastAsia="zh-CN" w:bidi="ar-SA"/>
        </w:rPr>
        <w:t>月</w:t>
      </w:r>
      <w:r>
        <w:rPr>
          <w:rFonts w:hint="eastAsia" w:ascii="宋体" w:hAnsi="宋体" w:cs="宋体"/>
          <w:color w:val="FF0000"/>
          <w:kern w:val="0"/>
          <w:sz w:val="21"/>
          <w:szCs w:val="21"/>
          <w:highlight w:val="none"/>
          <w:shd w:val="clear" w:color="auto" w:fill="FFFFFF"/>
          <w:lang w:val="en-US" w:eastAsia="zh-CN" w:bidi="ar-SA"/>
        </w:rPr>
        <w:t xml:space="preserve"> 21</w:t>
      </w:r>
      <w:bookmarkStart w:id="92" w:name="_GoBack"/>
      <w:bookmarkEnd w:id="92"/>
      <w:r>
        <w:rPr>
          <w:rFonts w:hint="eastAsia" w:ascii="宋体" w:hAnsi="宋体" w:cs="宋体"/>
          <w:color w:val="FF0000"/>
          <w:kern w:val="0"/>
          <w:sz w:val="21"/>
          <w:szCs w:val="21"/>
          <w:highlight w:val="none"/>
          <w:shd w:val="clear" w:color="auto" w:fill="FFFFFF"/>
          <w:lang w:val="en-US" w:eastAsia="zh-CN" w:bidi="ar-SA"/>
        </w:rPr>
        <w:t xml:space="preserve"> </w:t>
      </w:r>
      <w:r>
        <w:rPr>
          <w:rFonts w:hint="eastAsia" w:ascii="宋体" w:hAnsi="宋体" w:eastAsia="宋体" w:cs="宋体"/>
          <w:color w:val="FF0000"/>
          <w:kern w:val="0"/>
          <w:sz w:val="21"/>
          <w:szCs w:val="21"/>
          <w:highlight w:val="none"/>
          <w:shd w:val="clear" w:color="auto" w:fill="FFFFFF"/>
          <w:lang w:val="en-US" w:eastAsia="zh-CN" w:bidi="ar-SA"/>
        </w:rPr>
        <w:t>日</w:t>
      </w:r>
    </w:p>
    <w:p w14:paraId="712E2395">
      <w:pPr>
        <w:pStyle w:val="28"/>
        <w:widowControl/>
        <w:snapToGrid w:val="0"/>
        <w:spacing w:before="0" w:beforeAutospacing="0" w:after="0" w:afterAutospacing="0" w:line="360" w:lineRule="auto"/>
        <w:ind w:firstLine="420" w:firstLineChars="200"/>
        <w:rPr>
          <w:rFonts w:ascii="宋体" w:hAnsi="宋体" w:cs="宋体"/>
          <w:color w:val="auto"/>
          <w:sz w:val="21"/>
          <w:szCs w:val="21"/>
          <w:highlight w:val="none"/>
          <w:shd w:val="clear" w:color="auto" w:fill="FFFFFF"/>
        </w:rPr>
      </w:pPr>
    </w:p>
    <w:p w14:paraId="4B0BDB3F">
      <w:pPr>
        <w:rPr>
          <w:rFonts w:hint="eastAsia" w:ascii="宋体" w:hAnsi="宋体"/>
          <w:b/>
          <w:color w:val="auto"/>
          <w:sz w:val="32"/>
          <w:szCs w:val="32"/>
          <w:highlight w:val="none"/>
        </w:rPr>
      </w:pPr>
      <w:bookmarkStart w:id="29" w:name="_Toc23793"/>
      <w:bookmarkStart w:id="30" w:name="_Toc29890"/>
      <w:r>
        <w:rPr>
          <w:rFonts w:hint="eastAsia" w:ascii="宋体" w:hAnsi="宋体"/>
          <w:b/>
          <w:color w:val="auto"/>
          <w:sz w:val="32"/>
          <w:szCs w:val="32"/>
          <w:highlight w:val="none"/>
        </w:rPr>
        <w:br w:type="page"/>
      </w:r>
    </w:p>
    <w:p w14:paraId="6D5ECB9C">
      <w:pPr>
        <w:widowControl/>
        <w:spacing w:line="360" w:lineRule="auto"/>
        <w:ind w:firstLine="643" w:firstLineChars="200"/>
        <w:jc w:val="center"/>
        <w:outlineLvl w:val="0"/>
        <w:rPr>
          <w:rFonts w:ascii="宋体" w:hAnsi="宋体"/>
          <w:b/>
          <w:color w:val="auto"/>
          <w:sz w:val="32"/>
          <w:szCs w:val="32"/>
          <w:highlight w:val="none"/>
        </w:rPr>
      </w:pPr>
      <w:bookmarkStart w:id="31" w:name="_Toc17552"/>
      <w:r>
        <w:rPr>
          <w:rFonts w:hint="eastAsia" w:ascii="宋体" w:hAnsi="宋体"/>
          <w:b/>
          <w:color w:val="auto"/>
          <w:sz w:val="32"/>
          <w:szCs w:val="32"/>
          <w:highlight w:val="none"/>
        </w:rPr>
        <w:t xml:space="preserve">第二章  </w:t>
      </w:r>
      <w:r>
        <w:rPr>
          <w:rFonts w:hint="eastAsia" w:ascii="宋体" w:hAnsi="宋体"/>
          <w:b/>
          <w:color w:val="auto"/>
          <w:sz w:val="32"/>
          <w:szCs w:val="32"/>
          <w:highlight w:val="none"/>
          <w:lang w:eastAsia="zh-CN"/>
        </w:rPr>
        <w:t>采购</w:t>
      </w:r>
      <w:r>
        <w:rPr>
          <w:rFonts w:hint="eastAsia" w:ascii="宋体" w:hAnsi="宋体"/>
          <w:b/>
          <w:color w:val="auto"/>
          <w:sz w:val="32"/>
          <w:szCs w:val="32"/>
          <w:highlight w:val="none"/>
        </w:rPr>
        <w:t>需求</w:t>
      </w:r>
      <w:bookmarkEnd w:id="31"/>
      <w:bookmarkStart w:id="32" w:name="_Toc9989"/>
      <w:bookmarkStart w:id="33" w:name="_Toc31536"/>
      <w:bookmarkStart w:id="34" w:name="_Toc23610"/>
    </w:p>
    <w:bookmarkEnd w:id="29"/>
    <w:bookmarkEnd w:id="30"/>
    <w:bookmarkEnd w:id="32"/>
    <w:bookmarkEnd w:id="33"/>
    <w:bookmarkEnd w:id="34"/>
    <w:p w14:paraId="66D011C4">
      <w:pPr>
        <w:keepNext w:val="0"/>
        <w:keepLines w:val="0"/>
        <w:pageBreakBefore w:val="0"/>
        <w:widowControl w:val="0"/>
        <w:kinsoku/>
        <w:wordWrap/>
        <w:overflowPunct/>
        <w:topLinePunct w:val="0"/>
        <w:autoSpaceDE/>
        <w:autoSpaceDN/>
        <w:bidi w:val="0"/>
        <w:adjustRightInd/>
        <w:snapToGrid w:val="0"/>
        <w:spacing w:line="360" w:lineRule="auto"/>
        <w:ind w:firstLine="422" w:firstLineChars="200"/>
        <w:jc w:val="both"/>
        <w:textAlignment w:val="auto"/>
        <w:rPr>
          <w:rFonts w:hint="eastAsia" w:ascii="宋体" w:hAnsi="宋体" w:eastAsia="宋体" w:cs="宋体"/>
          <w:i w:val="0"/>
          <w:iCs/>
          <w:sz w:val="21"/>
          <w:szCs w:val="21"/>
          <w:highlight w:val="none"/>
          <w:u w:val="none"/>
          <w:lang w:val="en-US" w:eastAsia="zh-CN"/>
        </w:rPr>
      </w:pPr>
      <w:r>
        <w:rPr>
          <w:rFonts w:hint="eastAsia" w:ascii="宋体" w:hAnsi="宋体" w:eastAsia="宋体" w:cs="宋体"/>
          <w:b/>
          <w:bCs/>
          <w:i w:val="0"/>
          <w:iCs/>
          <w:sz w:val="21"/>
          <w:szCs w:val="21"/>
          <w:highlight w:val="none"/>
          <w:u w:val="none"/>
          <w:lang w:val="en-US" w:eastAsia="zh-CN"/>
        </w:rPr>
        <w:t>一、项目名称：</w:t>
      </w:r>
      <w:r>
        <w:rPr>
          <w:rFonts w:hint="eastAsia" w:ascii="宋体" w:hAnsi="宋体" w:eastAsia="宋体" w:cs="宋体"/>
          <w:i w:val="0"/>
          <w:iCs/>
          <w:sz w:val="21"/>
          <w:szCs w:val="21"/>
          <w:highlight w:val="none"/>
          <w:u w:val="none"/>
          <w:lang w:val="en-US" w:eastAsia="zh-CN"/>
        </w:rPr>
        <w:t>驻马店市中心医院</w:t>
      </w:r>
      <w:r>
        <w:rPr>
          <w:rFonts w:hint="eastAsia" w:ascii="宋体" w:hAnsi="宋体" w:cs="宋体"/>
          <w:i w:val="0"/>
          <w:iCs/>
          <w:sz w:val="21"/>
          <w:szCs w:val="21"/>
          <w:highlight w:val="none"/>
          <w:u w:val="none"/>
          <w:lang w:val="en-US" w:eastAsia="zh-CN"/>
        </w:rPr>
        <w:t>妇儿院区新生儿科等科室UPS电源更换电池组项目</w:t>
      </w:r>
    </w:p>
    <w:p w14:paraId="2931029C">
      <w:pPr>
        <w:pStyle w:val="13"/>
        <w:keepNext w:val="0"/>
        <w:keepLines w:val="0"/>
        <w:pageBreakBefore w:val="0"/>
        <w:widowControl/>
        <w:numPr>
          <w:ilvl w:val="0"/>
          <w:numId w:val="0"/>
        </w:numPr>
        <w:kinsoku/>
        <w:wordWrap/>
        <w:overflowPunct/>
        <w:topLinePunct w:val="0"/>
        <w:autoSpaceDE/>
        <w:autoSpaceDN/>
        <w:bidi w:val="0"/>
        <w:adjustRightInd/>
        <w:snapToGrid w:val="0"/>
        <w:spacing w:beforeAutospacing="0" w:afterAutospacing="0" w:line="480" w:lineRule="auto"/>
        <w:ind w:firstLine="422" w:firstLineChars="200"/>
        <w:jc w:val="both"/>
        <w:textAlignment w:val="auto"/>
        <w:rPr>
          <w:rFonts w:hint="eastAsia" w:cs="宋体"/>
          <w:b/>
          <w:bCs/>
          <w:kern w:val="2"/>
          <w:sz w:val="21"/>
          <w:szCs w:val="24"/>
          <w:lang w:val="en-US" w:eastAsia="zh-CN" w:bidi="ar-SA"/>
        </w:rPr>
      </w:pPr>
      <w:r>
        <w:rPr>
          <w:rFonts w:hint="eastAsia" w:cs="宋体"/>
          <w:b/>
          <w:bCs/>
          <w:kern w:val="2"/>
          <w:sz w:val="21"/>
          <w:szCs w:val="24"/>
          <w:lang w:val="en-US" w:eastAsia="zh-CN" w:bidi="ar-SA"/>
        </w:rPr>
        <w:t>二、采购标的清单：</w:t>
      </w:r>
    </w:p>
    <w:tbl>
      <w:tblPr>
        <w:tblStyle w:val="33"/>
        <w:tblW w:w="8781" w:type="dxa"/>
        <w:tblInd w:w="3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4"/>
        <w:gridCol w:w="652"/>
        <w:gridCol w:w="2207"/>
        <w:gridCol w:w="5"/>
        <w:gridCol w:w="966"/>
        <w:gridCol w:w="725"/>
        <w:gridCol w:w="1377"/>
        <w:gridCol w:w="923"/>
        <w:gridCol w:w="1202"/>
      </w:tblGrid>
      <w:tr w14:paraId="171D6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4" w:type="dxa"/>
            <w:vAlign w:val="center"/>
          </w:tcPr>
          <w:p w14:paraId="3315AF29">
            <w:pPr>
              <w:pStyle w:val="22"/>
              <w:numPr>
                <w:ilvl w:val="0"/>
                <w:numId w:val="0"/>
              </w:numPr>
              <w:jc w:val="center"/>
              <w:rPr>
                <w:rFonts w:hint="eastAsia"/>
                <w:b/>
                <w:bCs/>
                <w:lang w:val="en-US" w:eastAsia="zh-CN"/>
              </w:rPr>
            </w:pPr>
            <w:r>
              <w:rPr>
                <w:rFonts w:hint="eastAsia"/>
                <w:b/>
                <w:bCs/>
                <w:lang w:val="en-US" w:eastAsia="zh-CN"/>
              </w:rPr>
              <w:t>包号</w:t>
            </w:r>
          </w:p>
        </w:tc>
        <w:tc>
          <w:tcPr>
            <w:tcW w:w="652" w:type="dxa"/>
            <w:vAlign w:val="center"/>
          </w:tcPr>
          <w:p w14:paraId="49E8E6ED">
            <w:pPr>
              <w:pStyle w:val="22"/>
              <w:numPr>
                <w:ilvl w:val="0"/>
                <w:numId w:val="0"/>
              </w:numPr>
              <w:jc w:val="center"/>
              <w:rPr>
                <w:rFonts w:hint="eastAsia"/>
                <w:b/>
                <w:bCs/>
                <w:lang w:val="en-US" w:eastAsia="zh-CN"/>
              </w:rPr>
            </w:pPr>
            <w:r>
              <w:rPr>
                <w:rFonts w:hint="eastAsia"/>
                <w:b/>
                <w:bCs/>
                <w:lang w:val="en-US" w:eastAsia="zh-CN"/>
              </w:rPr>
              <w:t>序号</w:t>
            </w:r>
          </w:p>
        </w:tc>
        <w:tc>
          <w:tcPr>
            <w:tcW w:w="2207" w:type="dxa"/>
            <w:vAlign w:val="center"/>
          </w:tcPr>
          <w:p w14:paraId="1E44B7B5">
            <w:pPr>
              <w:pStyle w:val="22"/>
              <w:numPr>
                <w:ilvl w:val="0"/>
                <w:numId w:val="0"/>
              </w:numPr>
              <w:jc w:val="center"/>
              <w:rPr>
                <w:rFonts w:hint="eastAsia"/>
                <w:b/>
                <w:bCs/>
                <w:lang w:val="en-US" w:eastAsia="zh-CN"/>
              </w:rPr>
            </w:pPr>
            <w:r>
              <w:rPr>
                <w:rFonts w:hint="eastAsia"/>
                <w:b/>
                <w:bCs/>
                <w:lang w:val="en-US" w:eastAsia="zh-CN"/>
              </w:rPr>
              <w:t>标的名称</w:t>
            </w:r>
          </w:p>
        </w:tc>
        <w:tc>
          <w:tcPr>
            <w:tcW w:w="971" w:type="dxa"/>
            <w:gridSpan w:val="2"/>
            <w:vAlign w:val="center"/>
          </w:tcPr>
          <w:p w14:paraId="6F803DA1">
            <w:pPr>
              <w:pStyle w:val="22"/>
              <w:numPr>
                <w:ilvl w:val="0"/>
                <w:numId w:val="0"/>
              </w:numPr>
              <w:jc w:val="center"/>
              <w:rPr>
                <w:rFonts w:hint="eastAsia"/>
                <w:b/>
                <w:bCs/>
                <w:lang w:val="en-US" w:eastAsia="zh-CN"/>
              </w:rPr>
            </w:pPr>
            <w:r>
              <w:rPr>
                <w:rFonts w:hint="eastAsia"/>
                <w:b/>
                <w:bCs/>
                <w:lang w:val="en-US" w:eastAsia="zh-CN"/>
              </w:rPr>
              <w:t>单位</w:t>
            </w:r>
          </w:p>
        </w:tc>
        <w:tc>
          <w:tcPr>
            <w:tcW w:w="725" w:type="dxa"/>
            <w:vAlign w:val="center"/>
          </w:tcPr>
          <w:p w14:paraId="42FAB4D2">
            <w:pPr>
              <w:pStyle w:val="22"/>
              <w:numPr>
                <w:ilvl w:val="0"/>
                <w:numId w:val="0"/>
              </w:numPr>
              <w:jc w:val="center"/>
              <w:rPr>
                <w:rFonts w:hint="eastAsia"/>
                <w:b/>
                <w:bCs/>
                <w:lang w:val="en-US" w:eastAsia="zh-CN"/>
              </w:rPr>
            </w:pPr>
            <w:r>
              <w:rPr>
                <w:rFonts w:hint="eastAsia"/>
                <w:b/>
                <w:bCs/>
                <w:lang w:val="en-US" w:eastAsia="zh-CN"/>
              </w:rPr>
              <w:t>数量</w:t>
            </w:r>
          </w:p>
        </w:tc>
        <w:tc>
          <w:tcPr>
            <w:tcW w:w="1377" w:type="dxa"/>
            <w:vAlign w:val="center"/>
          </w:tcPr>
          <w:p w14:paraId="2FBA2F2A">
            <w:pPr>
              <w:pStyle w:val="22"/>
              <w:numPr>
                <w:ilvl w:val="0"/>
                <w:numId w:val="0"/>
              </w:numPr>
              <w:jc w:val="center"/>
              <w:rPr>
                <w:rFonts w:hint="eastAsia"/>
                <w:b/>
                <w:bCs/>
                <w:lang w:val="en-US" w:eastAsia="zh-CN"/>
              </w:rPr>
            </w:pPr>
            <w:r>
              <w:rPr>
                <w:rFonts w:hint="eastAsia"/>
                <w:b/>
                <w:bCs/>
                <w:lang w:val="en-US" w:eastAsia="zh-CN"/>
              </w:rPr>
              <w:t>资金</w:t>
            </w:r>
          </w:p>
          <w:p w14:paraId="61583967">
            <w:pPr>
              <w:pStyle w:val="22"/>
              <w:numPr>
                <w:ilvl w:val="0"/>
                <w:numId w:val="0"/>
              </w:numPr>
              <w:jc w:val="center"/>
              <w:rPr>
                <w:rFonts w:hint="eastAsia"/>
                <w:b/>
                <w:bCs/>
                <w:lang w:val="en-US" w:eastAsia="zh-CN"/>
              </w:rPr>
            </w:pPr>
            <w:r>
              <w:rPr>
                <w:rFonts w:hint="eastAsia"/>
                <w:b/>
                <w:bCs/>
                <w:lang w:val="en-US" w:eastAsia="zh-CN"/>
              </w:rPr>
              <w:t>预算</w:t>
            </w:r>
          </w:p>
        </w:tc>
        <w:tc>
          <w:tcPr>
            <w:tcW w:w="923" w:type="dxa"/>
            <w:vAlign w:val="center"/>
          </w:tcPr>
          <w:p w14:paraId="69757F95">
            <w:pPr>
              <w:pStyle w:val="22"/>
              <w:numPr>
                <w:ilvl w:val="0"/>
                <w:numId w:val="0"/>
              </w:numPr>
              <w:jc w:val="center"/>
              <w:rPr>
                <w:rFonts w:hint="eastAsia"/>
                <w:b/>
                <w:bCs/>
                <w:lang w:val="en-US" w:eastAsia="zh-CN"/>
              </w:rPr>
            </w:pPr>
            <w:r>
              <w:rPr>
                <w:rFonts w:hint="eastAsia"/>
                <w:b/>
                <w:bCs/>
                <w:lang w:val="en-US" w:eastAsia="zh-CN"/>
              </w:rPr>
              <w:t>资金</w:t>
            </w:r>
          </w:p>
          <w:p w14:paraId="0AA39129">
            <w:pPr>
              <w:pStyle w:val="22"/>
              <w:numPr>
                <w:ilvl w:val="0"/>
                <w:numId w:val="0"/>
              </w:numPr>
              <w:jc w:val="center"/>
              <w:rPr>
                <w:rFonts w:hint="eastAsia"/>
                <w:b/>
                <w:bCs/>
                <w:lang w:val="en-US" w:eastAsia="zh-CN"/>
              </w:rPr>
            </w:pPr>
            <w:r>
              <w:rPr>
                <w:rFonts w:hint="eastAsia"/>
                <w:b/>
                <w:bCs/>
                <w:lang w:val="en-US" w:eastAsia="zh-CN"/>
              </w:rPr>
              <w:t>性质</w:t>
            </w:r>
          </w:p>
        </w:tc>
        <w:tc>
          <w:tcPr>
            <w:tcW w:w="1202" w:type="dxa"/>
            <w:vAlign w:val="center"/>
          </w:tcPr>
          <w:p w14:paraId="4F94AA6A">
            <w:pPr>
              <w:pStyle w:val="22"/>
              <w:numPr>
                <w:ilvl w:val="0"/>
                <w:numId w:val="0"/>
              </w:numPr>
              <w:jc w:val="center"/>
              <w:rPr>
                <w:rFonts w:hint="eastAsia"/>
                <w:b/>
                <w:bCs/>
                <w:lang w:val="en-US" w:eastAsia="zh-CN"/>
              </w:rPr>
            </w:pPr>
            <w:r>
              <w:rPr>
                <w:rFonts w:hint="eastAsia"/>
                <w:b/>
                <w:bCs/>
                <w:lang w:val="en-US" w:eastAsia="zh-CN"/>
              </w:rPr>
              <w:t>国产/</w:t>
            </w:r>
          </w:p>
          <w:p w14:paraId="65DB9B0D">
            <w:pPr>
              <w:pStyle w:val="22"/>
              <w:numPr>
                <w:ilvl w:val="0"/>
                <w:numId w:val="0"/>
              </w:numPr>
              <w:jc w:val="center"/>
              <w:rPr>
                <w:rFonts w:hint="eastAsia"/>
                <w:b/>
                <w:bCs/>
                <w:lang w:val="en-US" w:eastAsia="zh-CN"/>
              </w:rPr>
            </w:pPr>
            <w:r>
              <w:rPr>
                <w:rFonts w:hint="eastAsia"/>
                <w:b/>
                <w:bCs/>
                <w:lang w:val="en-US" w:eastAsia="zh-CN"/>
              </w:rPr>
              <w:t>进口</w:t>
            </w:r>
          </w:p>
        </w:tc>
      </w:tr>
      <w:tr w14:paraId="0B35A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4" w:type="dxa"/>
            <w:vAlign w:val="center"/>
          </w:tcPr>
          <w:p w14:paraId="06B7D966">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vertAlign w:val="baseline"/>
                <w:lang w:val="en-US" w:eastAsia="zh-CN"/>
              </w:rPr>
              <w:t>1</w:t>
            </w:r>
          </w:p>
        </w:tc>
        <w:tc>
          <w:tcPr>
            <w:tcW w:w="652" w:type="dxa"/>
            <w:vAlign w:val="center"/>
          </w:tcPr>
          <w:p w14:paraId="3028AF23">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1</w:t>
            </w:r>
          </w:p>
        </w:tc>
        <w:tc>
          <w:tcPr>
            <w:tcW w:w="2207" w:type="dxa"/>
            <w:vAlign w:val="center"/>
          </w:tcPr>
          <w:p w14:paraId="6E106927">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both"/>
              <w:textAlignment w:val="auto"/>
              <w:rPr>
                <w:rFonts w:hint="eastAsia" w:ascii="宋体" w:hAnsi="宋体" w:eastAsia="宋体" w:cs="宋体"/>
                <w:kern w:val="2"/>
                <w:sz w:val="21"/>
                <w:szCs w:val="21"/>
                <w:vertAlign w:val="baseline"/>
                <w:lang w:val="en-US" w:eastAsia="zh-CN" w:bidi="ar-SA"/>
              </w:rPr>
            </w:pPr>
            <w:r>
              <w:rPr>
                <w:rFonts w:hint="eastAsia" w:ascii="宋体" w:hAnsi="宋体" w:cs="宋体"/>
                <w:sz w:val="21"/>
                <w:szCs w:val="21"/>
                <w:vertAlign w:val="baseline"/>
                <w:lang w:val="en-US" w:eastAsia="zh-CN"/>
              </w:rPr>
              <w:t>妇儿院区新生儿科等科室UPS电源更换电池组</w:t>
            </w:r>
            <w:r>
              <w:rPr>
                <w:rFonts w:hint="eastAsia" w:ascii="宋体" w:hAnsi="宋体" w:eastAsia="宋体" w:cs="宋体"/>
                <w:sz w:val="21"/>
                <w:szCs w:val="21"/>
                <w:vertAlign w:val="baseline"/>
                <w:lang w:val="en-US" w:eastAsia="zh-CN"/>
              </w:rPr>
              <w:t>采购</w:t>
            </w:r>
          </w:p>
        </w:tc>
        <w:tc>
          <w:tcPr>
            <w:tcW w:w="971" w:type="dxa"/>
            <w:gridSpan w:val="2"/>
            <w:vAlign w:val="center"/>
          </w:tcPr>
          <w:p w14:paraId="4B4FB3BB">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年</w:t>
            </w:r>
          </w:p>
        </w:tc>
        <w:tc>
          <w:tcPr>
            <w:tcW w:w="725" w:type="dxa"/>
            <w:vAlign w:val="center"/>
          </w:tcPr>
          <w:p w14:paraId="465F4458">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附后</w:t>
            </w:r>
          </w:p>
        </w:tc>
        <w:tc>
          <w:tcPr>
            <w:tcW w:w="1377" w:type="dxa"/>
            <w:vAlign w:val="center"/>
          </w:tcPr>
          <w:p w14:paraId="0F849FFC">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17.38万元</w:t>
            </w:r>
          </w:p>
        </w:tc>
        <w:tc>
          <w:tcPr>
            <w:tcW w:w="923" w:type="dxa"/>
            <w:vAlign w:val="center"/>
          </w:tcPr>
          <w:p w14:paraId="158101F3">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自筹</w:t>
            </w:r>
          </w:p>
        </w:tc>
        <w:tc>
          <w:tcPr>
            <w:tcW w:w="1202" w:type="dxa"/>
            <w:vAlign w:val="center"/>
          </w:tcPr>
          <w:p w14:paraId="4F6D1E06">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r>
      <w:tr w14:paraId="78825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76" w:type="dxa"/>
            <w:gridSpan w:val="2"/>
            <w:vAlign w:val="center"/>
          </w:tcPr>
          <w:p w14:paraId="3F376EE7">
            <w:pPr>
              <w:pStyle w:val="22"/>
              <w:numPr>
                <w:ilvl w:val="0"/>
                <w:numId w:val="0"/>
              </w:numPr>
              <w:jc w:val="center"/>
              <w:rPr>
                <w:rFonts w:hint="eastAsia"/>
                <w:lang w:val="en-US" w:eastAsia="zh-CN"/>
              </w:rPr>
            </w:pPr>
            <w:r>
              <w:rPr>
                <w:rFonts w:hint="eastAsia"/>
                <w:lang w:val="en-US" w:eastAsia="zh-CN"/>
              </w:rPr>
              <w:t>合计</w:t>
            </w:r>
          </w:p>
        </w:tc>
        <w:tc>
          <w:tcPr>
            <w:tcW w:w="2212" w:type="dxa"/>
            <w:gridSpan w:val="2"/>
            <w:vAlign w:val="center"/>
          </w:tcPr>
          <w:p w14:paraId="6BE74672">
            <w:pPr>
              <w:pStyle w:val="22"/>
              <w:numPr>
                <w:ilvl w:val="0"/>
                <w:numId w:val="0"/>
              </w:numPr>
              <w:jc w:val="center"/>
              <w:rPr>
                <w:rFonts w:hint="eastAsia"/>
                <w:lang w:val="en-US" w:eastAsia="zh-CN"/>
              </w:rPr>
            </w:pPr>
          </w:p>
        </w:tc>
        <w:tc>
          <w:tcPr>
            <w:tcW w:w="966" w:type="dxa"/>
            <w:vAlign w:val="center"/>
          </w:tcPr>
          <w:p w14:paraId="3BD3538A">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b/>
                <w:bCs/>
                <w:sz w:val="21"/>
                <w:szCs w:val="21"/>
                <w:vertAlign w:val="baseline"/>
                <w:lang w:val="en-US" w:eastAsia="zh-CN"/>
              </w:rPr>
              <w:t>年</w:t>
            </w:r>
          </w:p>
        </w:tc>
        <w:tc>
          <w:tcPr>
            <w:tcW w:w="725" w:type="dxa"/>
            <w:vAlign w:val="center"/>
          </w:tcPr>
          <w:p w14:paraId="1B830BD5">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kern w:val="2"/>
                <w:sz w:val="21"/>
                <w:szCs w:val="21"/>
                <w:lang w:val="en-US" w:eastAsia="zh-CN" w:bidi="ar-SA"/>
              </w:rPr>
            </w:pPr>
          </w:p>
        </w:tc>
        <w:tc>
          <w:tcPr>
            <w:tcW w:w="1377" w:type="dxa"/>
            <w:vAlign w:val="center"/>
          </w:tcPr>
          <w:p w14:paraId="741EFE11">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17.38万元</w:t>
            </w:r>
          </w:p>
        </w:tc>
        <w:tc>
          <w:tcPr>
            <w:tcW w:w="923" w:type="dxa"/>
            <w:vAlign w:val="center"/>
          </w:tcPr>
          <w:p w14:paraId="69C80EED">
            <w:pPr>
              <w:pStyle w:val="22"/>
              <w:numPr>
                <w:ilvl w:val="0"/>
                <w:numId w:val="0"/>
              </w:numPr>
              <w:jc w:val="center"/>
              <w:rPr>
                <w:rFonts w:hint="eastAsia"/>
                <w:lang w:val="en-US" w:eastAsia="zh-CN"/>
              </w:rPr>
            </w:pPr>
          </w:p>
        </w:tc>
        <w:tc>
          <w:tcPr>
            <w:tcW w:w="1202" w:type="dxa"/>
            <w:vAlign w:val="center"/>
          </w:tcPr>
          <w:p w14:paraId="0FF387B4">
            <w:pPr>
              <w:pStyle w:val="22"/>
              <w:numPr>
                <w:ilvl w:val="0"/>
                <w:numId w:val="0"/>
              </w:numPr>
              <w:jc w:val="center"/>
              <w:rPr>
                <w:rFonts w:hint="eastAsia"/>
                <w:lang w:val="en-US" w:eastAsia="zh-CN"/>
              </w:rPr>
            </w:pPr>
          </w:p>
        </w:tc>
      </w:tr>
      <w:tr w14:paraId="0146B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76" w:type="dxa"/>
            <w:gridSpan w:val="2"/>
            <w:vAlign w:val="center"/>
          </w:tcPr>
          <w:p w14:paraId="35B14E54">
            <w:pPr>
              <w:pStyle w:val="22"/>
              <w:numPr>
                <w:ilvl w:val="0"/>
                <w:numId w:val="0"/>
              </w:numPr>
              <w:jc w:val="center"/>
              <w:rPr>
                <w:rFonts w:hint="eastAsia"/>
                <w:lang w:val="en-US" w:eastAsia="zh-CN"/>
              </w:rPr>
            </w:pPr>
            <w:r>
              <w:rPr>
                <w:rFonts w:hint="eastAsia"/>
                <w:lang w:val="en-US" w:eastAsia="zh-CN"/>
              </w:rPr>
              <w:t>备注</w:t>
            </w:r>
          </w:p>
        </w:tc>
        <w:tc>
          <w:tcPr>
            <w:tcW w:w="7405" w:type="dxa"/>
            <w:gridSpan w:val="7"/>
            <w:vAlign w:val="center"/>
          </w:tcPr>
          <w:p w14:paraId="4E7EA067">
            <w:pPr>
              <w:pStyle w:val="22"/>
              <w:tabs>
                <w:tab w:val="left" w:pos="568"/>
              </w:tabs>
              <w:spacing w:line="240" w:lineRule="auto"/>
              <w:ind w:firstLine="420" w:firstLineChars="200"/>
              <w:jc w:val="center"/>
              <w:rPr>
                <w:rFonts w:hint="eastAsia"/>
                <w:lang w:val="en-US" w:eastAsia="zh-CN"/>
              </w:rPr>
            </w:pPr>
          </w:p>
        </w:tc>
      </w:tr>
    </w:tbl>
    <w:p w14:paraId="6CCE2A95">
      <w:pPr>
        <w:pStyle w:val="22"/>
        <w:tabs>
          <w:tab w:val="left" w:pos="568"/>
        </w:tabs>
        <w:spacing w:line="240" w:lineRule="auto"/>
        <w:ind w:firstLine="534" w:firstLineChars="200"/>
        <w:jc w:val="center"/>
        <w:rPr>
          <w:rFonts w:hint="eastAsia" w:ascii="宋体" w:hAnsi="宋体" w:eastAsia="宋体" w:cs="宋体"/>
          <w:b/>
          <w:bCs/>
          <w:spacing w:val="28"/>
          <w:sz w:val="21"/>
          <w:szCs w:val="21"/>
        </w:rPr>
      </w:pPr>
    </w:p>
    <w:p w14:paraId="7FBF5A54">
      <w:pPr>
        <w:pStyle w:val="22"/>
        <w:tabs>
          <w:tab w:val="left" w:pos="568"/>
        </w:tabs>
        <w:spacing w:line="240" w:lineRule="auto"/>
        <w:ind w:firstLine="534" w:firstLineChars="200"/>
        <w:jc w:val="center"/>
        <w:rPr>
          <w:rFonts w:hint="eastAsia" w:ascii="宋体" w:hAnsi="宋体" w:eastAsia="宋体" w:cs="宋体"/>
          <w:b/>
          <w:bCs/>
          <w:spacing w:val="28"/>
          <w:sz w:val="21"/>
          <w:szCs w:val="21"/>
        </w:rPr>
      </w:pPr>
    </w:p>
    <w:p w14:paraId="51C6EBC7">
      <w:pPr>
        <w:bidi w:val="0"/>
        <w:jc w:val="center"/>
        <w:rPr>
          <w:rFonts w:hint="default" w:eastAsiaTheme="minorEastAsia"/>
          <w:color w:val="auto"/>
          <w:lang w:val="en-US" w:eastAsia="zh-CN"/>
        </w:rPr>
      </w:pPr>
      <w:r>
        <w:rPr>
          <w:rFonts w:hint="eastAsia" w:ascii="方正小标宋简体" w:hAnsi="方正小标宋简体" w:eastAsia="方正小标宋简体" w:cs="方正小标宋简体"/>
          <w:b w:val="0"/>
          <w:bCs w:val="0"/>
          <w:sz w:val="28"/>
          <w:szCs w:val="28"/>
          <w:lang w:val="en-US" w:eastAsia="zh-CN"/>
        </w:rPr>
        <w:t>妇儿院区新生儿科等科室UPS电源更换电池组清单</w:t>
      </w:r>
    </w:p>
    <w:tbl>
      <w:tblPr>
        <w:tblStyle w:val="89"/>
        <w:tblW w:w="921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38"/>
        <w:gridCol w:w="1740"/>
        <w:gridCol w:w="1740"/>
        <w:gridCol w:w="975"/>
        <w:gridCol w:w="1316"/>
        <w:gridCol w:w="2509"/>
      </w:tblGrid>
      <w:tr w14:paraId="13B785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7" w:hRule="atLeast"/>
          <w:jc w:val="center"/>
        </w:trPr>
        <w:tc>
          <w:tcPr>
            <w:tcW w:w="938" w:type="dxa"/>
            <w:shd w:val="clear" w:color="auto" w:fill="auto"/>
            <w:vAlign w:val="top"/>
          </w:tcPr>
          <w:p w14:paraId="023A4837">
            <w:pPr>
              <w:spacing w:before="288" w:line="229" w:lineRule="auto"/>
              <w:ind w:left="128"/>
              <w:jc w:val="center"/>
              <w:rPr>
                <w:rFonts w:ascii="宋体" w:hAnsi="宋体" w:eastAsia="宋体" w:cs="宋体"/>
                <w:sz w:val="21"/>
                <w:szCs w:val="21"/>
              </w:rPr>
            </w:pPr>
            <w:r>
              <w:rPr>
                <w:rFonts w:ascii="宋体" w:hAnsi="宋体" w:eastAsia="宋体" w:cs="宋体"/>
                <w:spacing w:val="6"/>
                <w:sz w:val="21"/>
                <w:szCs w:val="21"/>
              </w:rPr>
              <w:t>序</w:t>
            </w:r>
            <w:r>
              <w:rPr>
                <w:rFonts w:ascii="宋体" w:hAnsi="宋体" w:eastAsia="宋体" w:cs="宋体"/>
                <w:spacing w:val="5"/>
                <w:sz w:val="21"/>
                <w:szCs w:val="21"/>
              </w:rPr>
              <w:t>号</w:t>
            </w:r>
          </w:p>
        </w:tc>
        <w:tc>
          <w:tcPr>
            <w:tcW w:w="1740" w:type="dxa"/>
            <w:shd w:val="clear" w:color="auto" w:fill="auto"/>
            <w:vAlign w:val="top"/>
          </w:tcPr>
          <w:p w14:paraId="4E2B2229">
            <w:pPr>
              <w:spacing w:before="288" w:line="227" w:lineRule="auto"/>
              <w:ind w:left="243"/>
              <w:jc w:val="center"/>
              <w:rPr>
                <w:rFonts w:ascii="宋体" w:hAnsi="宋体" w:eastAsia="宋体" w:cs="宋体"/>
                <w:sz w:val="21"/>
                <w:szCs w:val="21"/>
              </w:rPr>
            </w:pPr>
            <w:r>
              <w:rPr>
                <w:rFonts w:ascii="宋体" w:hAnsi="宋体" w:eastAsia="宋体" w:cs="宋体"/>
                <w:spacing w:val="6"/>
                <w:sz w:val="21"/>
                <w:szCs w:val="21"/>
              </w:rPr>
              <w:t>货物名称</w:t>
            </w:r>
          </w:p>
        </w:tc>
        <w:tc>
          <w:tcPr>
            <w:tcW w:w="1740" w:type="dxa"/>
            <w:shd w:val="clear" w:color="auto" w:fill="auto"/>
            <w:vAlign w:val="top"/>
          </w:tcPr>
          <w:p w14:paraId="0D41F16B">
            <w:pPr>
              <w:spacing w:before="289" w:line="227" w:lineRule="auto"/>
              <w:jc w:val="center"/>
              <w:rPr>
                <w:rFonts w:ascii="宋体" w:hAnsi="宋体" w:eastAsia="宋体" w:cs="宋体"/>
                <w:sz w:val="21"/>
                <w:szCs w:val="21"/>
              </w:rPr>
            </w:pPr>
            <w:r>
              <w:rPr>
                <w:rFonts w:ascii="宋体" w:hAnsi="宋体" w:eastAsia="宋体" w:cs="宋体"/>
                <w:spacing w:val="8"/>
                <w:sz w:val="21"/>
                <w:szCs w:val="21"/>
              </w:rPr>
              <w:t>规</w:t>
            </w:r>
            <w:r>
              <w:rPr>
                <w:rFonts w:ascii="宋体" w:hAnsi="宋体" w:eastAsia="宋体" w:cs="宋体"/>
                <w:spacing w:val="7"/>
                <w:sz w:val="21"/>
                <w:szCs w:val="21"/>
              </w:rPr>
              <w:t>格型号</w:t>
            </w:r>
          </w:p>
        </w:tc>
        <w:tc>
          <w:tcPr>
            <w:tcW w:w="975" w:type="dxa"/>
            <w:shd w:val="clear" w:color="auto" w:fill="auto"/>
            <w:vAlign w:val="top"/>
          </w:tcPr>
          <w:p w14:paraId="27A67B44">
            <w:pPr>
              <w:spacing w:before="289" w:line="228" w:lineRule="auto"/>
              <w:jc w:val="center"/>
              <w:rPr>
                <w:rFonts w:ascii="宋体" w:hAnsi="宋体" w:eastAsia="宋体" w:cs="宋体"/>
                <w:sz w:val="21"/>
                <w:szCs w:val="21"/>
              </w:rPr>
            </w:pPr>
            <w:r>
              <w:rPr>
                <w:rFonts w:ascii="宋体" w:hAnsi="宋体" w:eastAsia="宋体" w:cs="宋体"/>
                <w:spacing w:val="4"/>
                <w:sz w:val="21"/>
                <w:szCs w:val="21"/>
              </w:rPr>
              <w:t>单位</w:t>
            </w:r>
          </w:p>
        </w:tc>
        <w:tc>
          <w:tcPr>
            <w:tcW w:w="1316" w:type="dxa"/>
            <w:shd w:val="clear" w:color="auto" w:fill="auto"/>
            <w:vAlign w:val="top"/>
          </w:tcPr>
          <w:p w14:paraId="06128F95">
            <w:pPr>
              <w:spacing w:before="289" w:line="227" w:lineRule="auto"/>
              <w:jc w:val="center"/>
              <w:rPr>
                <w:rFonts w:ascii="宋体" w:hAnsi="宋体" w:eastAsia="宋体" w:cs="宋体"/>
                <w:sz w:val="21"/>
                <w:szCs w:val="21"/>
              </w:rPr>
            </w:pPr>
            <w:r>
              <w:rPr>
                <w:rFonts w:ascii="宋体" w:hAnsi="宋体" w:eastAsia="宋体" w:cs="宋体"/>
                <w:spacing w:val="4"/>
                <w:sz w:val="21"/>
                <w:szCs w:val="21"/>
              </w:rPr>
              <w:t>数量</w:t>
            </w:r>
          </w:p>
        </w:tc>
        <w:tc>
          <w:tcPr>
            <w:tcW w:w="2509" w:type="dxa"/>
            <w:shd w:val="clear" w:color="auto" w:fill="auto"/>
            <w:vAlign w:val="top"/>
          </w:tcPr>
          <w:p w14:paraId="3FBB4243">
            <w:pPr>
              <w:spacing w:before="288" w:line="229" w:lineRule="auto"/>
              <w:jc w:val="center"/>
              <w:rPr>
                <w:rFonts w:ascii="宋体" w:hAnsi="宋体" w:eastAsia="宋体" w:cs="宋体"/>
                <w:sz w:val="21"/>
                <w:szCs w:val="21"/>
              </w:rPr>
            </w:pPr>
            <w:r>
              <w:rPr>
                <w:rFonts w:ascii="宋体" w:hAnsi="宋体" w:eastAsia="宋体" w:cs="宋体"/>
                <w:spacing w:val="4"/>
                <w:sz w:val="21"/>
                <w:szCs w:val="21"/>
              </w:rPr>
              <w:t>备</w:t>
            </w:r>
            <w:r>
              <w:rPr>
                <w:rFonts w:ascii="宋体" w:hAnsi="宋体" w:eastAsia="宋体" w:cs="宋体"/>
                <w:spacing w:val="3"/>
                <w:sz w:val="21"/>
                <w:szCs w:val="21"/>
              </w:rPr>
              <w:t>注</w:t>
            </w:r>
          </w:p>
        </w:tc>
      </w:tr>
      <w:tr w14:paraId="362559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5" w:hRule="atLeast"/>
          <w:jc w:val="center"/>
        </w:trPr>
        <w:tc>
          <w:tcPr>
            <w:tcW w:w="938" w:type="dxa"/>
            <w:tcBorders>
              <w:bottom w:val="single" w:color="auto" w:sz="4" w:space="0"/>
            </w:tcBorders>
            <w:vAlign w:val="center"/>
          </w:tcPr>
          <w:p w14:paraId="032D99F7">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1740" w:type="dxa"/>
            <w:vMerge w:val="restart"/>
            <w:vAlign w:val="center"/>
          </w:tcPr>
          <w:p w14:paraId="1E0E2946">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蓄电池</w:t>
            </w:r>
          </w:p>
        </w:tc>
        <w:tc>
          <w:tcPr>
            <w:tcW w:w="1740" w:type="dxa"/>
            <w:tcBorders>
              <w:bottom w:val="single" w:color="auto" w:sz="4" w:space="0"/>
            </w:tcBorders>
            <w:vAlign w:val="center"/>
          </w:tcPr>
          <w:p w14:paraId="32204D68">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12V/100AH</w:t>
            </w:r>
          </w:p>
        </w:tc>
        <w:tc>
          <w:tcPr>
            <w:tcW w:w="975" w:type="dxa"/>
            <w:tcBorders>
              <w:bottom w:val="single" w:color="auto" w:sz="4" w:space="0"/>
            </w:tcBorders>
            <w:vAlign w:val="center"/>
          </w:tcPr>
          <w:p w14:paraId="1CA5061A">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块</w:t>
            </w:r>
          </w:p>
        </w:tc>
        <w:tc>
          <w:tcPr>
            <w:tcW w:w="1316" w:type="dxa"/>
            <w:tcBorders>
              <w:bottom w:val="single" w:color="auto" w:sz="4" w:space="0"/>
            </w:tcBorders>
            <w:vAlign w:val="center"/>
          </w:tcPr>
          <w:p w14:paraId="332A26B5">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32</w:t>
            </w:r>
          </w:p>
        </w:tc>
        <w:tc>
          <w:tcPr>
            <w:tcW w:w="2509" w:type="dxa"/>
            <w:tcBorders>
              <w:bottom w:val="single" w:color="auto" w:sz="4" w:space="0"/>
            </w:tcBorders>
            <w:vAlign w:val="top"/>
          </w:tcPr>
          <w:p w14:paraId="2883FC2C">
            <w:pPr>
              <w:spacing w:before="251" w:line="221"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新生儿科</w:t>
            </w:r>
          </w:p>
        </w:tc>
      </w:tr>
      <w:tr w14:paraId="4787DF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5" w:hRule="atLeast"/>
          <w:jc w:val="center"/>
        </w:trPr>
        <w:tc>
          <w:tcPr>
            <w:tcW w:w="938" w:type="dxa"/>
            <w:tcBorders>
              <w:top w:val="single" w:color="auto" w:sz="4" w:space="0"/>
              <w:left w:val="single" w:color="auto" w:sz="4" w:space="0"/>
              <w:bottom w:val="single" w:color="auto" w:sz="4" w:space="0"/>
            </w:tcBorders>
            <w:vAlign w:val="center"/>
          </w:tcPr>
          <w:p w14:paraId="34E57AC4">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1740" w:type="dxa"/>
            <w:vMerge w:val="continue"/>
            <w:vAlign w:val="center"/>
          </w:tcPr>
          <w:p w14:paraId="73523AEB">
            <w:pPr>
              <w:jc w:val="center"/>
              <w:rPr>
                <w:rFonts w:hint="eastAsia" w:ascii="宋体" w:hAnsi="宋体" w:eastAsia="宋体" w:cs="宋体"/>
                <w:sz w:val="21"/>
                <w:szCs w:val="21"/>
                <w:lang w:val="en-US" w:eastAsia="zh-CN"/>
              </w:rPr>
            </w:pPr>
          </w:p>
        </w:tc>
        <w:tc>
          <w:tcPr>
            <w:tcW w:w="1740" w:type="dxa"/>
            <w:tcBorders>
              <w:top w:val="single" w:color="auto" w:sz="4" w:space="0"/>
              <w:bottom w:val="single" w:color="auto" w:sz="4" w:space="0"/>
            </w:tcBorders>
            <w:vAlign w:val="center"/>
          </w:tcPr>
          <w:p w14:paraId="69E7F829">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12V/100AH</w:t>
            </w:r>
          </w:p>
        </w:tc>
        <w:tc>
          <w:tcPr>
            <w:tcW w:w="975" w:type="dxa"/>
            <w:tcBorders>
              <w:top w:val="single" w:color="auto" w:sz="4" w:space="0"/>
              <w:bottom w:val="single" w:color="auto" w:sz="4" w:space="0"/>
            </w:tcBorders>
            <w:vAlign w:val="center"/>
          </w:tcPr>
          <w:p w14:paraId="20C1F410">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块</w:t>
            </w:r>
          </w:p>
        </w:tc>
        <w:tc>
          <w:tcPr>
            <w:tcW w:w="1316" w:type="dxa"/>
            <w:tcBorders>
              <w:top w:val="single" w:color="auto" w:sz="4" w:space="0"/>
              <w:bottom w:val="single" w:color="auto" w:sz="4" w:space="0"/>
            </w:tcBorders>
            <w:vAlign w:val="center"/>
          </w:tcPr>
          <w:p w14:paraId="372658FE">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32</w:t>
            </w:r>
          </w:p>
        </w:tc>
        <w:tc>
          <w:tcPr>
            <w:tcW w:w="2509" w:type="dxa"/>
            <w:tcBorders>
              <w:top w:val="single" w:color="auto" w:sz="4" w:space="0"/>
              <w:bottom w:val="single" w:color="auto" w:sz="4" w:space="0"/>
              <w:right w:val="single" w:color="auto" w:sz="4" w:space="0"/>
            </w:tcBorders>
            <w:vAlign w:val="center"/>
          </w:tcPr>
          <w:p w14:paraId="0072959F">
            <w:pPr>
              <w:jc w:val="center"/>
              <w:rPr>
                <w:rFonts w:hint="default" w:ascii="Arial" w:eastAsiaTheme="minorEastAsia"/>
                <w:sz w:val="21"/>
                <w:szCs w:val="21"/>
                <w:lang w:val="en-US" w:eastAsia="zh-CN"/>
              </w:rPr>
            </w:pPr>
            <w:r>
              <w:rPr>
                <w:rFonts w:hint="eastAsia" w:ascii="Arial"/>
                <w:sz w:val="21"/>
                <w:szCs w:val="21"/>
                <w:lang w:val="en-US" w:eastAsia="zh-CN"/>
              </w:rPr>
              <w:t>儿童重症医学科</w:t>
            </w:r>
          </w:p>
        </w:tc>
      </w:tr>
      <w:tr w14:paraId="6A9437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5" w:hRule="atLeast"/>
          <w:jc w:val="center"/>
        </w:trPr>
        <w:tc>
          <w:tcPr>
            <w:tcW w:w="938" w:type="dxa"/>
            <w:tcBorders>
              <w:top w:val="single" w:color="auto" w:sz="4" w:space="0"/>
              <w:left w:val="single" w:color="auto" w:sz="4" w:space="0"/>
              <w:bottom w:val="single" w:color="auto" w:sz="4" w:space="0"/>
            </w:tcBorders>
            <w:vAlign w:val="center"/>
          </w:tcPr>
          <w:p w14:paraId="6FEB2389">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3</w:t>
            </w:r>
          </w:p>
        </w:tc>
        <w:tc>
          <w:tcPr>
            <w:tcW w:w="1740" w:type="dxa"/>
            <w:vMerge w:val="continue"/>
            <w:vAlign w:val="center"/>
          </w:tcPr>
          <w:p w14:paraId="35D23F0C">
            <w:pPr>
              <w:jc w:val="center"/>
              <w:rPr>
                <w:rFonts w:hint="eastAsia" w:ascii="宋体" w:hAnsi="宋体" w:eastAsia="宋体" w:cs="宋体"/>
                <w:sz w:val="21"/>
                <w:szCs w:val="21"/>
                <w:lang w:val="en-US" w:eastAsia="zh-CN"/>
              </w:rPr>
            </w:pPr>
          </w:p>
        </w:tc>
        <w:tc>
          <w:tcPr>
            <w:tcW w:w="1740" w:type="dxa"/>
            <w:tcBorders>
              <w:top w:val="single" w:color="auto" w:sz="4" w:space="0"/>
              <w:bottom w:val="single" w:color="auto" w:sz="4" w:space="0"/>
            </w:tcBorders>
            <w:vAlign w:val="center"/>
          </w:tcPr>
          <w:p w14:paraId="702946DD">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12V/100AH</w:t>
            </w:r>
          </w:p>
        </w:tc>
        <w:tc>
          <w:tcPr>
            <w:tcW w:w="975" w:type="dxa"/>
            <w:tcBorders>
              <w:top w:val="single" w:color="auto" w:sz="4" w:space="0"/>
              <w:bottom w:val="single" w:color="auto" w:sz="4" w:space="0"/>
            </w:tcBorders>
            <w:vAlign w:val="center"/>
          </w:tcPr>
          <w:p w14:paraId="75D5B5B3">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块</w:t>
            </w:r>
          </w:p>
        </w:tc>
        <w:tc>
          <w:tcPr>
            <w:tcW w:w="1316" w:type="dxa"/>
            <w:tcBorders>
              <w:top w:val="single" w:color="auto" w:sz="4" w:space="0"/>
              <w:bottom w:val="single" w:color="auto" w:sz="4" w:space="0"/>
            </w:tcBorders>
            <w:vAlign w:val="center"/>
          </w:tcPr>
          <w:p w14:paraId="12042184">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64</w:t>
            </w:r>
          </w:p>
        </w:tc>
        <w:tc>
          <w:tcPr>
            <w:tcW w:w="2509" w:type="dxa"/>
            <w:tcBorders>
              <w:top w:val="single" w:color="auto" w:sz="4" w:space="0"/>
              <w:bottom w:val="single" w:color="auto" w:sz="4" w:space="0"/>
              <w:right w:val="single" w:color="auto" w:sz="4" w:space="0"/>
            </w:tcBorders>
            <w:vAlign w:val="center"/>
          </w:tcPr>
          <w:p w14:paraId="043748EF">
            <w:pPr>
              <w:jc w:val="center"/>
              <w:rPr>
                <w:rFonts w:hint="default" w:ascii="宋体" w:hAnsi="宋体" w:eastAsia="宋体" w:cs="宋体"/>
                <w:spacing w:val="-7"/>
                <w:sz w:val="21"/>
                <w:szCs w:val="21"/>
                <w:lang w:val="en-US" w:eastAsia="zh-CN"/>
              </w:rPr>
            </w:pPr>
            <w:r>
              <w:rPr>
                <w:rFonts w:hint="eastAsia" w:ascii="宋体" w:hAnsi="宋体" w:eastAsia="宋体" w:cs="宋体"/>
                <w:spacing w:val="-7"/>
                <w:sz w:val="21"/>
                <w:szCs w:val="21"/>
                <w:lang w:val="en-US" w:eastAsia="zh-CN"/>
              </w:rPr>
              <w:t>新生儿重症医学科</w:t>
            </w:r>
          </w:p>
        </w:tc>
      </w:tr>
      <w:tr w14:paraId="2B766A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5" w:hRule="atLeast"/>
          <w:jc w:val="center"/>
        </w:trPr>
        <w:tc>
          <w:tcPr>
            <w:tcW w:w="938" w:type="dxa"/>
            <w:tcBorders>
              <w:top w:val="single" w:color="auto" w:sz="4" w:space="0"/>
              <w:left w:val="single" w:color="auto" w:sz="4" w:space="0"/>
              <w:bottom w:val="single" w:color="auto" w:sz="4" w:space="0"/>
            </w:tcBorders>
            <w:vAlign w:val="center"/>
          </w:tcPr>
          <w:p w14:paraId="5A32CD8B">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4</w:t>
            </w:r>
          </w:p>
        </w:tc>
        <w:tc>
          <w:tcPr>
            <w:tcW w:w="1740" w:type="dxa"/>
            <w:vMerge w:val="continue"/>
            <w:vAlign w:val="center"/>
          </w:tcPr>
          <w:p w14:paraId="0C933451">
            <w:pPr>
              <w:jc w:val="center"/>
              <w:rPr>
                <w:rFonts w:hint="eastAsia" w:ascii="宋体" w:hAnsi="宋体" w:eastAsia="宋体" w:cs="宋体"/>
                <w:sz w:val="21"/>
                <w:szCs w:val="21"/>
                <w:lang w:val="en-US" w:eastAsia="zh-CN"/>
              </w:rPr>
            </w:pPr>
          </w:p>
        </w:tc>
        <w:tc>
          <w:tcPr>
            <w:tcW w:w="1740" w:type="dxa"/>
            <w:tcBorders>
              <w:top w:val="single" w:color="auto" w:sz="4" w:space="0"/>
              <w:bottom w:val="single" w:color="auto" w:sz="4" w:space="0"/>
            </w:tcBorders>
            <w:vAlign w:val="center"/>
          </w:tcPr>
          <w:p w14:paraId="78FDCB65">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12V/38AH</w:t>
            </w:r>
          </w:p>
        </w:tc>
        <w:tc>
          <w:tcPr>
            <w:tcW w:w="975" w:type="dxa"/>
            <w:tcBorders>
              <w:top w:val="single" w:color="auto" w:sz="4" w:space="0"/>
              <w:bottom w:val="single" w:color="auto" w:sz="4" w:space="0"/>
            </w:tcBorders>
            <w:vAlign w:val="center"/>
          </w:tcPr>
          <w:p w14:paraId="162F7D4B">
            <w:pPr>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块</w:t>
            </w:r>
          </w:p>
        </w:tc>
        <w:tc>
          <w:tcPr>
            <w:tcW w:w="1316" w:type="dxa"/>
            <w:tcBorders>
              <w:top w:val="single" w:color="auto" w:sz="4" w:space="0"/>
              <w:bottom w:val="single" w:color="auto" w:sz="4" w:space="0"/>
            </w:tcBorders>
            <w:vAlign w:val="center"/>
          </w:tcPr>
          <w:p w14:paraId="7379986D">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32</w:t>
            </w:r>
          </w:p>
        </w:tc>
        <w:tc>
          <w:tcPr>
            <w:tcW w:w="2509" w:type="dxa"/>
            <w:tcBorders>
              <w:top w:val="single" w:color="auto" w:sz="4" w:space="0"/>
              <w:bottom w:val="single" w:color="auto" w:sz="4" w:space="0"/>
              <w:right w:val="single" w:color="auto" w:sz="4" w:space="0"/>
            </w:tcBorders>
            <w:vAlign w:val="center"/>
          </w:tcPr>
          <w:p w14:paraId="1AC0212C">
            <w:pPr>
              <w:jc w:val="center"/>
              <w:rPr>
                <w:rFonts w:hint="eastAsia" w:ascii="宋体" w:hAnsi="宋体" w:eastAsia="宋体" w:cs="宋体"/>
                <w:spacing w:val="-7"/>
                <w:sz w:val="21"/>
                <w:szCs w:val="21"/>
                <w:lang w:val="en-US" w:eastAsia="zh-CN"/>
              </w:rPr>
            </w:pPr>
            <w:r>
              <w:rPr>
                <w:rFonts w:hint="eastAsia" w:ascii="宋体" w:hAnsi="宋体" w:eastAsia="宋体" w:cs="宋体"/>
                <w:spacing w:val="-7"/>
                <w:sz w:val="21"/>
                <w:szCs w:val="21"/>
                <w:lang w:val="en-US" w:eastAsia="zh-CN"/>
              </w:rPr>
              <w:t>分娩部</w:t>
            </w:r>
          </w:p>
        </w:tc>
      </w:tr>
      <w:tr w14:paraId="4BC650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5" w:hRule="atLeast"/>
          <w:jc w:val="center"/>
        </w:trPr>
        <w:tc>
          <w:tcPr>
            <w:tcW w:w="938" w:type="dxa"/>
            <w:tcBorders>
              <w:top w:val="single" w:color="auto" w:sz="4" w:space="0"/>
              <w:left w:val="single" w:color="auto" w:sz="4" w:space="0"/>
              <w:bottom w:val="single" w:color="auto" w:sz="4" w:space="0"/>
            </w:tcBorders>
            <w:vAlign w:val="center"/>
          </w:tcPr>
          <w:p w14:paraId="3D5C911C">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5</w:t>
            </w:r>
          </w:p>
        </w:tc>
        <w:tc>
          <w:tcPr>
            <w:tcW w:w="1740" w:type="dxa"/>
            <w:vMerge w:val="continue"/>
            <w:tcBorders>
              <w:bottom w:val="single" w:color="auto" w:sz="4" w:space="0"/>
            </w:tcBorders>
            <w:vAlign w:val="center"/>
          </w:tcPr>
          <w:p w14:paraId="1252A61E">
            <w:pPr>
              <w:jc w:val="center"/>
              <w:rPr>
                <w:rFonts w:hint="eastAsia" w:ascii="宋体" w:hAnsi="宋体" w:eastAsia="宋体" w:cs="宋体"/>
                <w:sz w:val="21"/>
                <w:szCs w:val="21"/>
                <w:lang w:val="en-US" w:eastAsia="zh-CN"/>
              </w:rPr>
            </w:pPr>
          </w:p>
        </w:tc>
        <w:tc>
          <w:tcPr>
            <w:tcW w:w="1740" w:type="dxa"/>
            <w:tcBorders>
              <w:top w:val="single" w:color="auto" w:sz="4" w:space="0"/>
              <w:bottom w:val="single" w:color="auto" w:sz="4" w:space="0"/>
            </w:tcBorders>
            <w:vAlign w:val="center"/>
          </w:tcPr>
          <w:p w14:paraId="4AE9CA18">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12V/38AH</w:t>
            </w:r>
          </w:p>
        </w:tc>
        <w:tc>
          <w:tcPr>
            <w:tcW w:w="975" w:type="dxa"/>
            <w:tcBorders>
              <w:top w:val="single" w:color="auto" w:sz="4" w:space="0"/>
              <w:bottom w:val="single" w:color="auto" w:sz="4" w:space="0"/>
            </w:tcBorders>
            <w:vAlign w:val="center"/>
          </w:tcPr>
          <w:p w14:paraId="2000CB56">
            <w:pPr>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块</w:t>
            </w:r>
          </w:p>
        </w:tc>
        <w:tc>
          <w:tcPr>
            <w:tcW w:w="1316" w:type="dxa"/>
            <w:tcBorders>
              <w:top w:val="single" w:color="auto" w:sz="4" w:space="0"/>
              <w:bottom w:val="single" w:color="auto" w:sz="4" w:space="0"/>
            </w:tcBorders>
            <w:vAlign w:val="center"/>
          </w:tcPr>
          <w:p w14:paraId="740248AA">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32</w:t>
            </w:r>
          </w:p>
        </w:tc>
        <w:tc>
          <w:tcPr>
            <w:tcW w:w="2509" w:type="dxa"/>
            <w:tcBorders>
              <w:top w:val="single" w:color="auto" w:sz="4" w:space="0"/>
              <w:bottom w:val="single" w:color="auto" w:sz="4" w:space="0"/>
              <w:right w:val="single" w:color="auto" w:sz="4" w:space="0"/>
            </w:tcBorders>
            <w:vAlign w:val="center"/>
          </w:tcPr>
          <w:p w14:paraId="639A1DEB">
            <w:pPr>
              <w:jc w:val="center"/>
              <w:rPr>
                <w:rFonts w:hint="eastAsia" w:ascii="宋体" w:hAnsi="宋体" w:eastAsia="宋体" w:cs="宋体"/>
                <w:spacing w:val="-7"/>
                <w:sz w:val="21"/>
                <w:szCs w:val="21"/>
                <w:lang w:val="en-US" w:eastAsia="zh-CN"/>
              </w:rPr>
            </w:pPr>
            <w:r>
              <w:rPr>
                <w:rFonts w:hint="eastAsia" w:ascii="宋体" w:hAnsi="宋体" w:eastAsia="宋体" w:cs="宋体"/>
                <w:spacing w:val="-7"/>
                <w:sz w:val="21"/>
                <w:szCs w:val="21"/>
                <w:lang w:val="en-US" w:eastAsia="zh-CN"/>
              </w:rPr>
              <w:t>急诊科</w:t>
            </w:r>
          </w:p>
        </w:tc>
      </w:tr>
      <w:tr w14:paraId="678EBE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6" w:hRule="atLeast"/>
          <w:jc w:val="center"/>
        </w:trPr>
        <w:tc>
          <w:tcPr>
            <w:tcW w:w="938" w:type="dxa"/>
            <w:vAlign w:val="center"/>
          </w:tcPr>
          <w:p w14:paraId="49795B17">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6</w:t>
            </w:r>
          </w:p>
        </w:tc>
        <w:tc>
          <w:tcPr>
            <w:tcW w:w="1740" w:type="dxa"/>
            <w:vAlign w:val="center"/>
          </w:tcPr>
          <w:p w14:paraId="4890CDDC">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移除及安装调试</w:t>
            </w:r>
          </w:p>
        </w:tc>
        <w:tc>
          <w:tcPr>
            <w:tcW w:w="1740" w:type="dxa"/>
            <w:vAlign w:val="center"/>
          </w:tcPr>
          <w:p w14:paraId="39D575A7">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w:t>
            </w:r>
          </w:p>
        </w:tc>
        <w:tc>
          <w:tcPr>
            <w:tcW w:w="975" w:type="dxa"/>
            <w:vAlign w:val="center"/>
          </w:tcPr>
          <w:p w14:paraId="11E3AD6C">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项</w:t>
            </w:r>
          </w:p>
        </w:tc>
        <w:tc>
          <w:tcPr>
            <w:tcW w:w="1316" w:type="dxa"/>
            <w:vAlign w:val="center"/>
          </w:tcPr>
          <w:p w14:paraId="0EF8C381">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2509" w:type="dxa"/>
            <w:vAlign w:val="top"/>
          </w:tcPr>
          <w:p w14:paraId="3576A357">
            <w:pPr>
              <w:spacing w:before="48" w:line="255" w:lineRule="auto"/>
              <w:ind w:left="115" w:right="139" w:firstLine="1"/>
              <w:rPr>
                <w:rFonts w:hint="eastAsia" w:ascii="宋体" w:hAnsi="宋体" w:eastAsia="宋体" w:cs="宋体"/>
                <w:sz w:val="21"/>
                <w:szCs w:val="21"/>
                <w:lang w:eastAsia="zh-CN"/>
              </w:rPr>
            </w:pPr>
            <w:r>
              <w:rPr>
                <w:rFonts w:ascii="宋体" w:hAnsi="宋体" w:eastAsia="宋体" w:cs="宋体"/>
                <w:spacing w:val="-2"/>
                <w:sz w:val="21"/>
                <w:szCs w:val="21"/>
              </w:rPr>
              <w:t>按国</w:t>
            </w:r>
            <w:r>
              <w:rPr>
                <w:rFonts w:ascii="宋体" w:hAnsi="宋体" w:eastAsia="宋体" w:cs="宋体"/>
                <w:spacing w:val="-1"/>
                <w:sz w:val="21"/>
                <w:szCs w:val="21"/>
              </w:rPr>
              <w:t>家电力标准对电池进行开关机拆除等</w:t>
            </w:r>
            <w:r>
              <w:rPr>
                <w:rFonts w:hint="eastAsia" w:ascii="宋体" w:hAnsi="宋体" w:eastAsia="宋体" w:cs="宋体"/>
                <w:spacing w:val="-1"/>
                <w:sz w:val="21"/>
                <w:szCs w:val="21"/>
                <w:lang w:val="en-US" w:eastAsia="zh-CN"/>
              </w:rPr>
              <w:t>,</w:t>
            </w:r>
            <w:r>
              <w:rPr>
                <w:rFonts w:ascii="宋体" w:hAnsi="宋体" w:eastAsia="宋体" w:cs="宋体"/>
                <w:spacing w:val="-1"/>
                <w:sz w:val="21"/>
                <w:szCs w:val="21"/>
              </w:rPr>
              <w:t>保证</w:t>
            </w:r>
            <w:r>
              <w:rPr>
                <w:rFonts w:hint="eastAsia" w:ascii="宋体" w:hAnsi="宋体" w:eastAsia="宋体" w:cs="宋体"/>
                <w:spacing w:val="-1"/>
                <w:sz w:val="21"/>
                <w:szCs w:val="21"/>
                <w:lang w:val="en-US" w:eastAsia="zh-CN"/>
              </w:rPr>
              <w:t>手术室</w:t>
            </w:r>
            <w:r>
              <w:rPr>
                <w:rFonts w:ascii="宋体" w:hAnsi="宋体" w:eastAsia="宋体" w:cs="宋体"/>
                <w:spacing w:val="-1"/>
                <w:sz w:val="21"/>
                <w:szCs w:val="21"/>
              </w:rPr>
              <w:t>设备的正常</w:t>
            </w:r>
            <w:r>
              <w:rPr>
                <w:rFonts w:ascii="宋体" w:hAnsi="宋体" w:eastAsia="宋体" w:cs="宋体"/>
                <w:sz w:val="21"/>
                <w:szCs w:val="21"/>
              </w:rPr>
              <w:t>运</w:t>
            </w:r>
            <w:r>
              <w:rPr>
                <w:rFonts w:ascii="宋体" w:hAnsi="宋体" w:eastAsia="宋体" w:cs="宋体"/>
                <w:spacing w:val="-1"/>
                <w:sz w:val="21"/>
                <w:szCs w:val="21"/>
              </w:rPr>
              <w:t>行，不能出现掉电现</w:t>
            </w:r>
            <w:r>
              <w:rPr>
                <w:rFonts w:ascii="宋体" w:hAnsi="宋体" w:eastAsia="宋体" w:cs="宋体"/>
                <w:spacing w:val="-10"/>
                <w:sz w:val="21"/>
                <w:szCs w:val="21"/>
              </w:rPr>
              <w:t>象</w:t>
            </w:r>
            <w:r>
              <w:rPr>
                <w:rFonts w:ascii="宋体" w:hAnsi="宋体" w:eastAsia="宋体" w:cs="宋体"/>
                <w:spacing w:val="-9"/>
                <w:sz w:val="21"/>
                <w:szCs w:val="21"/>
              </w:rPr>
              <w:t>，</w:t>
            </w:r>
            <w:r>
              <w:rPr>
                <w:rFonts w:ascii="宋体" w:hAnsi="宋体" w:eastAsia="宋体" w:cs="宋体"/>
                <w:spacing w:val="-5"/>
                <w:sz w:val="21"/>
                <w:szCs w:val="21"/>
              </w:rPr>
              <w:t>防止</w:t>
            </w:r>
            <w:r>
              <w:rPr>
                <w:rFonts w:hint="eastAsia" w:ascii="宋体" w:hAnsi="宋体" w:eastAsia="宋体" w:cs="宋体"/>
                <w:spacing w:val="-5"/>
                <w:sz w:val="21"/>
                <w:szCs w:val="21"/>
                <w:lang w:val="en-US" w:eastAsia="zh-CN"/>
              </w:rPr>
              <w:t>精密设备</w:t>
            </w:r>
            <w:r>
              <w:rPr>
                <w:rFonts w:ascii="宋体" w:hAnsi="宋体" w:eastAsia="宋体" w:cs="宋体"/>
                <w:spacing w:val="-5"/>
                <w:sz w:val="21"/>
                <w:szCs w:val="21"/>
              </w:rPr>
              <w:t>因</w:t>
            </w:r>
            <w:r>
              <w:rPr>
                <w:rFonts w:ascii="宋体" w:hAnsi="宋体" w:eastAsia="宋体" w:cs="宋体"/>
                <w:spacing w:val="-1"/>
                <w:sz w:val="21"/>
                <w:szCs w:val="21"/>
              </w:rPr>
              <w:t>掉电造成经济损</w:t>
            </w:r>
            <w:r>
              <w:rPr>
                <w:rFonts w:ascii="宋体" w:hAnsi="宋体" w:eastAsia="宋体" w:cs="宋体"/>
                <w:sz w:val="21"/>
                <w:szCs w:val="21"/>
              </w:rPr>
              <w:t>失</w:t>
            </w:r>
            <w:r>
              <w:rPr>
                <w:rFonts w:hint="eastAsia" w:ascii="宋体" w:hAnsi="宋体" w:eastAsia="宋体" w:cs="宋体"/>
                <w:sz w:val="21"/>
                <w:szCs w:val="21"/>
                <w:lang w:eastAsia="zh-CN"/>
              </w:rPr>
              <w:t>。</w:t>
            </w:r>
          </w:p>
        </w:tc>
      </w:tr>
    </w:tbl>
    <w:p w14:paraId="223510CF">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2" w:firstLineChars="200"/>
        <w:jc w:val="both"/>
        <w:textAlignment w:val="auto"/>
        <w:rPr>
          <w:rFonts w:hint="eastAsia" w:ascii="宋体" w:hAnsi="宋体" w:cs="宋体"/>
          <w:b/>
          <w:bCs/>
          <w:kern w:val="2"/>
          <w:sz w:val="21"/>
          <w:szCs w:val="24"/>
          <w:lang w:val="en-US" w:eastAsia="zh-CN" w:bidi="ar-SA"/>
        </w:rPr>
      </w:pPr>
    </w:p>
    <w:p w14:paraId="60537A5A">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2" w:firstLineChars="200"/>
        <w:jc w:val="both"/>
        <w:textAlignment w:val="auto"/>
        <w:rPr>
          <w:rFonts w:hint="eastAsia" w:ascii="宋体" w:hAnsi="宋体" w:cs="宋体"/>
          <w:b/>
          <w:bCs/>
          <w:kern w:val="2"/>
          <w:sz w:val="21"/>
          <w:szCs w:val="24"/>
          <w:lang w:val="en-US" w:eastAsia="zh-CN" w:bidi="ar-SA"/>
        </w:rPr>
      </w:pPr>
    </w:p>
    <w:p w14:paraId="2E8BBA5E">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2" w:firstLineChars="200"/>
        <w:jc w:val="both"/>
        <w:textAlignment w:val="auto"/>
        <w:rPr>
          <w:rFonts w:hint="eastAsia" w:ascii="宋体" w:hAnsi="宋体" w:cs="宋体"/>
          <w:b/>
          <w:bCs/>
          <w:kern w:val="2"/>
          <w:sz w:val="21"/>
          <w:szCs w:val="24"/>
          <w:lang w:val="en-US" w:eastAsia="zh-CN" w:bidi="ar-SA"/>
        </w:rPr>
      </w:pPr>
    </w:p>
    <w:p w14:paraId="6A9C8AAA">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2" w:firstLineChars="200"/>
        <w:jc w:val="both"/>
        <w:textAlignment w:val="auto"/>
        <w:rPr>
          <w:rFonts w:hint="eastAsia" w:ascii="宋体" w:hAnsi="宋体" w:cs="宋体"/>
          <w:b/>
          <w:bCs/>
          <w:kern w:val="2"/>
          <w:sz w:val="21"/>
          <w:szCs w:val="24"/>
          <w:lang w:val="en-US" w:eastAsia="zh-CN" w:bidi="ar-SA"/>
        </w:rPr>
      </w:pPr>
      <w:r>
        <w:rPr>
          <w:rFonts w:hint="eastAsia" w:ascii="宋体" w:hAnsi="宋体" w:cs="宋体"/>
          <w:b/>
          <w:bCs/>
          <w:kern w:val="2"/>
          <w:sz w:val="21"/>
          <w:szCs w:val="24"/>
          <w:lang w:val="en-US" w:eastAsia="zh-CN" w:bidi="ar-SA"/>
        </w:rPr>
        <w:t>三、技术要求：</w:t>
      </w:r>
    </w:p>
    <w:tbl>
      <w:tblPr>
        <w:tblStyle w:val="32"/>
        <w:tblW w:w="8574" w:type="dxa"/>
        <w:jc w:val="center"/>
        <w:tblLayout w:type="fixed"/>
        <w:tblCellMar>
          <w:top w:w="0" w:type="dxa"/>
          <w:left w:w="108" w:type="dxa"/>
          <w:bottom w:w="0" w:type="dxa"/>
          <w:right w:w="108" w:type="dxa"/>
        </w:tblCellMar>
      </w:tblPr>
      <w:tblGrid>
        <w:gridCol w:w="674"/>
        <w:gridCol w:w="1620"/>
        <w:gridCol w:w="6280"/>
      </w:tblGrid>
      <w:tr w14:paraId="41792DEB">
        <w:tblPrEx>
          <w:tblCellMar>
            <w:top w:w="0" w:type="dxa"/>
            <w:left w:w="108" w:type="dxa"/>
            <w:bottom w:w="0" w:type="dxa"/>
            <w:right w:w="108" w:type="dxa"/>
          </w:tblCellMar>
        </w:tblPrEx>
        <w:trPr>
          <w:trHeight w:val="557" w:hRule="atLeast"/>
          <w:jc w:val="center"/>
        </w:trPr>
        <w:tc>
          <w:tcPr>
            <w:tcW w:w="674" w:type="dxa"/>
            <w:tcBorders>
              <w:top w:val="single" w:color="auto" w:sz="4" w:space="0"/>
              <w:left w:val="single" w:color="auto" w:sz="4" w:space="0"/>
              <w:bottom w:val="single" w:color="auto" w:sz="4" w:space="0"/>
              <w:right w:val="single" w:color="auto" w:sz="4" w:space="0"/>
            </w:tcBorders>
            <w:noWrap w:val="0"/>
            <w:vAlign w:val="center"/>
          </w:tcPr>
          <w:p w14:paraId="00533CF4">
            <w:pPr>
              <w:widowControl/>
              <w:jc w:val="center"/>
              <w:textAlignment w:val="center"/>
              <w:rPr>
                <w:rFonts w:ascii="宋体" w:hAnsi="宋体" w:cs="宋体"/>
                <w:color w:val="auto"/>
                <w:szCs w:val="21"/>
              </w:rPr>
            </w:pPr>
            <w:r>
              <w:rPr>
                <w:rFonts w:hint="eastAsia" w:ascii="宋体" w:hAnsi="宋体" w:cs="宋体"/>
                <w:b/>
                <w:color w:val="000000"/>
                <w:kern w:val="0"/>
                <w:szCs w:val="21"/>
              </w:rPr>
              <w:t>序号</w:t>
            </w:r>
          </w:p>
        </w:tc>
        <w:tc>
          <w:tcPr>
            <w:tcW w:w="1620" w:type="dxa"/>
            <w:tcBorders>
              <w:top w:val="single" w:color="auto" w:sz="4" w:space="0"/>
              <w:left w:val="nil"/>
              <w:bottom w:val="single" w:color="auto" w:sz="4" w:space="0"/>
              <w:right w:val="single" w:color="auto" w:sz="4" w:space="0"/>
            </w:tcBorders>
            <w:noWrap w:val="0"/>
            <w:vAlign w:val="center"/>
          </w:tcPr>
          <w:p w14:paraId="4A96BE05">
            <w:pPr>
              <w:widowControl/>
              <w:jc w:val="center"/>
              <w:textAlignment w:val="center"/>
              <w:rPr>
                <w:rFonts w:hint="eastAsia" w:ascii="宋体" w:hAnsi="宋体" w:cs="宋体"/>
                <w:color w:val="auto"/>
                <w:kern w:val="0"/>
                <w:szCs w:val="21"/>
              </w:rPr>
            </w:pPr>
            <w:r>
              <w:rPr>
                <w:rFonts w:hint="eastAsia" w:ascii="宋体" w:hAnsi="宋体" w:cs="宋体"/>
                <w:b/>
                <w:color w:val="000000"/>
                <w:kern w:val="0"/>
                <w:szCs w:val="21"/>
                <w:lang w:val="en-US" w:eastAsia="zh-CN"/>
              </w:rPr>
              <w:t>货物</w:t>
            </w:r>
            <w:r>
              <w:rPr>
                <w:rFonts w:hint="eastAsia" w:ascii="宋体" w:hAnsi="宋体" w:cs="宋体"/>
                <w:b/>
                <w:color w:val="000000"/>
                <w:kern w:val="0"/>
                <w:szCs w:val="21"/>
              </w:rPr>
              <w:t>名称</w:t>
            </w:r>
          </w:p>
        </w:tc>
        <w:tc>
          <w:tcPr>
            <w:tcW w:w="6280" w:type="dxa"/>
            <w:tcBorders>
              <w:top w:val="single" w:color="auto" w:sz="4" w:space="0"/>
              <w:left w:val="nil"/>
              <w:bottom w:val="single" w:color="auto" w:sz="4" w:space="0"/>
              <w:right w:val="single" w:color="auto" w:sz="4" w:space="0"/>
            </w:tcBorders>
            <w:noWrap w:val="0"/>
            <w:vAlign w:val="center"/>
          </w:tcPr>
          <w:p w14:paraId="5804395D">
            <w:pPr>
              <w:widowControl/>
              <w:jc w:val="center"/>
              <w:textAlignment w:val="center"/>
              <w:rPr>
                <w:rFonts w:hint="eastAsia"/>
                <w:color w:val="auto"/>
                <w:szCs w:val="21"/>
              </w:rPr>
            </w:pPr>
            <w:r>
              <w:rPr>
                <w:rFonts w:hint="eastAsia" w:ascii="宋体" w:hAnsi="宋体" w:cs="宋体"/>
                <w:b/>
                <w:color w:val="000000"/>
                <w:kern w:val="0"/>
                <w:szCs w:val="21"/>
              </w:rPr>
              <w:t>技术参数</w:t>
            </w:r>
            <w:r>
              <w:rPr>
                <w:rFonts w:hint="eastAsia" w:ascii="宋体" w:hAnsi="宋体" w:cs="宋体"/>
                <w:b/>
                <w:color w:val="000000"/>
                <w:kern w:val="0"/>
                <w:szCs w:val="21"/>
                <w:lang w:val="en-US" w:eastAsia="zh-CN"/>
              </w:rPr>
              <w:t>要求</w:t>
            </w:r>
          </w:p>
        </w:tc>
      </w:tr>
      <w:tr w14:paraId="3A991EB0">
        <w:tblPrEx>
          <w:tblCellMar>
            <w:top w:w="0" w:type="dxa"/>
            <w:left w:w="108" w:type="dxa"/>
            <w:bottom w:w="0" w:type="dxa"/>
            <w:right w:w="108" w:type="dxa"/>
          </w:tblCellMar>
        </w:tblPrEx>
        <w:trPr>
          <w:trHeight w:val="557" w:hRule="atLeast"/>
          <w:jc w:val="center"/>
        </w:trPr>
        <w:tc>
          <w:tcPr>
            <w:tcW w:w="674" w:type="dxa"/>
            <w:tcBorders>
              <w:top w:val="single" w:color="auto" w:sz="4" w:space="0"/>
              <w:left w:val="single" w:color="auto" w:sz="4" w:space="0"/>
              <w:bottom w:val="single" w:color="auto" w:sz="4" w:space="0"/>
              <w:right w:val="single" w:color="auto" w:sz="4" w:space="0"/>
            </w:tcBorders>
            <w:noWrap w:val="0"/>
            <w:vAlign w:val="center"/>
          </w:tcPr>
          <w:p w14:paraId="3EFE658F">
            <w:pPr>
              <w:widowControl/>
              <w:spacing w:line="360" w:lineRule="auto"/>
              <w:jc w:val="center"/>
              <w:textAlignment w:val="center"/>
              <w:rPr>
                <w:rFonts w:ascii="宋体" w:cs="宋体"/>
                <w:color w:val="auto"/>
                <w:szCs w:val="21"/>
              </w:rPr>
            </w:pPr>
            <w:r>
              <w:rPr>
                <w:rFonts w:ascii="宋体" w:hAnsi="宋体" w:cs="宋体"/>
                <w:color w:val="auto"/>
                <w:szCs w:val="21"/>
              </w:rPr>
              <w:t>1</w:t>
            </w:r>
          </w:p>
        </w:tc>
        <w:tc>
          <w:tcPr>
            <w:tcW w:w="1620" w:type="dxa"/>
            <w:tcBorders>
              <w:top w:val="single" w:color="auto" w:sz="4" w:space="0"/>
              <w:left w:val="nil"/>
              <w:bottom w:val="single" w:color="auto" w:sz="4" w:space="0"/>
              <w:right w:val="single" w:color="auto" w:sz="4" w:space="0"/>
            </w:tcBorders>
            <w:noWrap w:val="0"/>
            <w:vAlign w:val="center"/>
          </w:tcPr>
          <w:p w14:paraId="086EBC95">
            <w:pPr>
              <w:widowControl/>
              <w:spacing w:line="360" w:lineRule="auto"/>
              <w:jc w:val="center"/>
              <w:textAlignment w:val="center"/>
              <w:rPr>
                <w:rFonts w:ascii="宋体" w:cs="宋体"/>
                <w:color w:val="auto"/>
                <w:szCs w:val="21"/>
              </w:rPr>
            </w:pPr>
            <w:r>
              <w:rPr>
                <w:rFonts w:hint="eastAsia" w:ascii="宋体" w:hAnsi="宋体" w:cs="宋体"/>
                <w:color w:val="auto"/>
                <w:kern w:val="0"/>
                <w:szCs w:val="21"/>
              </w:rPr>
              <w:t>蓄电池</w:t>
            </w:r>
          </w:p>
        </w:tc>
        <w:tc>
          <w:tcPr>
            <w:tcW w:w="6280" w:type="dxa"/>
            <w:tcBorders>
              <w:top w:val="single" w:color="auto" w:sz="4" w:space="0"/>
              <w:left w:val="nil"/>
              <w:bottom w:val="single" w:color="auto" w:sz="4" w:space="0"/>
              <w:right w:val="single" w:color="auto" w:sz="4" w:space="0"/>
            </w:tcBorders>
            <w:noWrap w:val="0"/>
            <w:vAlign w:val="center"/>
          </w:tcPr>
          <w:p w14:paraId="47514C1A">
            <w:pPr>
              <w:widowControl/>
              <w:spacing w:line="360" w:lineRule="auto"/>
              <w:ind w:firstLine="210" w:firstLineChars="100"/>
              <w:jc w:val="left"/>
              <w:textAlignment w:val="center"/>
              <w:rPr>
                <w:rFonts w:hint="eastAsia" w:ascii="Times New Roman" w:hAnsi="Times New Roman" w:eastAsia="宋体" w:cs="Times New Roman"/>
                <w:lang w:eastAsia="zh-CN"/>
              </w:rPr>
            </w:pPr>
            <w:r>
              <w:rPr>
                <w:rFonts w:ascii="Times New Roman" w:hAnsi="Times New Roman" w:eastAsia="宋体" w:cs="Times New Roman"/>
              </w:rPr>
              <w:t>1</w:t>
            </w:r>
            <w:r>
              <w:rPr>
                <w:rFonts w:hint="eastAsia" w:ascii="Times New Roman" w:hAnsi="Times New Roman" w:eastAsia="宋体" w:cs="Times New Roman"/>
              </w:rPr>
              <w:t>、</w:t>
            </w:r>
            <w:r>
              <w:rPr>
                <w:rFonts w:hint="eastAsia" w:ascii="Times New Roman" w:hAnsi="Times New Roman" w:eastAsia="宋体" w:cs="Times New Roman"/>
                <w:lang w:val="en-US" w:eastAsia="zh-CN"/>
              </w:rPr>
              <w:t>新生儿科、儿童重症医学科、新生儿重症医学科电池容积</w:t>
            </w:r>
            <w:r>
              <w:t>≥</w:t>
            </w:r>
            <w:r>
              <w:rPr>
                <w:rFonts w:hint="eastAsia" w:ascii="Times New Roman" w:hAnsi="Times New Roman" w:eastAsia="宋体" w:cs="Times New Roman"/>
              </w:rPr>
              <w:t>12V/100AH</w:t>
            </w:r>
            <w:r>
              <w:rPr>
                <w:rFonts w:hint="eastAsia" w:ascii="Times New Roman" w:hAnsi="Times New Roman" w:eastAsia="宋体" w:cs="Times New Roman"/>
                <w:lang w:eastAsia="zh-CN"/>
              </w:rPr>
              <w:t>，</w:t>
            </w:r>
            <w:r>
              <w:rPr>
                <w:rFonts w:hint="eastAsia" w:ascii="Times New Roman" w:hAnsi="Times New Roman" w:eastAsia="宋体" w:cs="Times New Roman"/>
                <w:lang w:val="en-US" w:eastAsia="zh-CN"/>
              </w:rPr>
              <w:t>分娩部、急诊科电池容积</w:t>
            </w:r>
            <w:r>
              <w:t>≥</w:t>
            </w:r>
            <w:r>
              <w:rPr>
                <w:rFonts w:hint="eastAsia" w:ascii="Times New Roman" w:hAnsi="Times New Roman" w:eastAsia="宋体" w:cs="Times New Roman"/>
              </w:rPr>
              <w:t>12V/</w:t>
            </w:r>
            <w:r>
              <w:rPr>
                <w:rFonts w:hint="eastAsia" w:ascii="Times New Roman" w:hAnsi="Times New Roman" w:eastAsia="宋体" w:cs="Times New Roman"/>
                <w:lang w:val="en-US" w:eastAsia="zh-CN"/>
              </w:rPr>
              <w:t>38</w:t>
            </w:r>
            <w:r>
              <w:rPr>
                <w:rFonts w:hint="eastAsia" w:ascii="Times New Roman" w:hAnsi="Times New Roman" w:eastAsia="宋体" w:cs="Times New Roman"/>
              </w:rPr>
              <w:t>AH</w:t>
            </w:r>
            <w:r>
              <w:rPr>
                <w:rFonts w:hint="eastAsia" w:ascii="Times New Roman" w:hAnsi="Times New Roman" w:eastAsia="宋体" w:cs="Times New Roman"/>
                <w:lang w:eastAsia="zh-CN"/>
              </w:rPr>
              <w:t>。</w:t>
            </w:r>
          </w:p>
          <w:p w14:paraId="452677DF">
            <w:pPr>
              <w:widowControl/>
              <w:spacing w:line="360" w:lineRule="auto"/>
              <w:ind w:firstLine="210" w:firstLineChars="100"/>
              <w:jc w:val="left"/>
              <w:textAlignment w:val="center"/>
              <w:rPr>
                <w:rFonts w:hint="eastAsia" w:eastAsia="宋体"/>
                <w:lang w:eastAsia="zh-CN"/>
              </w:rPr>
            </w:pPr>
            <w:r>
              <w:rPr>
                <w:rFonts w:hint="eastAsia"/>
                <w:lang w:val="en-US" w:eastAsia="zh-CN"/>
              </w:rPr>
              <w:t>2</w:t>
            </w:r>
            <w:r>
              <w:rPr>
                <w:rFonts w:hint="eastAsia"/>
              </w:rPr>
              <w:t>、蓄电池容量一致性，同组蓄电池10h率容量实验时，最大实际容量与最小实际容量差值≤5%</w:t>
            </w:r>
            <w:r>
              <w:rPr>
                <w:rFonts w:hint="eastAsia"/>
                <w:lang w:eastAsia="zh-CN"/>
              </w:rPr>
              <w:t>。</w:t>
            </w:r>
          </w:p>
          <w:p w14:paraId="5C90875B">
            <w:pPr>
              <w:widowControl/>
              <w:spacing w:line="360" w:lineRule="auto"/>
              <w:ind w:firstLine="210" w:firstLineChars="100"/>
              <w:jc w:val="left"/>
              <w:textAlignment w:val="center"/>
              <w:rPr>
                <w:rFonts w:hint="eastAsia" w:eastAsia="宋体"/>
                <w:lang w:eastAsia="zh-CN"/>
              </w:rPr>
            </w:pPr>
            <w:r>
              <w:rPr>
                <w:rFonts w:hint="eastAsia"/>
                <w:lang w:val="en-US" w:eastAsia="zh-CN"/>
              </w:rPr>
              <w:t>3</w:t>
            </w:r>
            <w:r>
              <w:rPr>
                <w:rFonts w:hint="eastAsia"/>
              </w:rPr>
              <w:t>、蓄电池端电压均衡性，在开路时，端电压最高与最低差值应≤80mV；进入浮充状态24h后端电压差≤160mV；放电后，端电压差≤380mV</w:t>
            </w:r>
            <w:r>
              <w:rPr>
                <w:rFonts w:hint="eastAsia"/>
                <w:lang w:eastAsia="zh-CN"/>
              </w:rPr>
              <w:t>。</w:t>
            </w:r>
          </w:p>
          <w:p w14:paraId="2B2DD144">
            <w:pPr>
              <w:widowControl/>
              <w:spacing w:line="360" w:lineRule="auto"/>
              <w:ind w:firstLine="210" w:firstLineChars="100"/>
              <w:jc w:val="left"/>
              <w:textAlignment w:val="center"/>
              <w:rPr>
                <w:rFonts w:hint="eastAsia" w:eastAsia="宋体"/>
                <w:lang w:eastAsia="zh-CN"/>
              </w:rPr>
            </w:pPr>
            <w:r>
              <w:rPr>
                <w:rFonts w:hint="eastAsia"/>
                <w:lang w:val="en-US" w:eastAsia="zh-CN"/>
              </w:rPr>
              <w:t>4</w:t>
            </w:r>
            <w:r>
              <w:rPr>
                <w:rFonts w:hint="eastAsia"/>
              </w:rPr>
              <w:t>、同组电池内阻偏差应≤7；</w:t>
            </w:r>
            <w:r>
              <w:rPr>
                <w:rFonts w:hint="eastAsia"/>
                <w:lang w:val="en-US" w:eastAsia="zh-CN"/>
              </w:rPr>
              <w:t>须</w:t>
            </w:r>
            <w:r>
              <w:rPr>
                <w:rFonts w:hint="eastAsia"/>
              </w:rPr>
              <w:t>提供检测报告</w:t>
            </w:r>
            <w:r>
              <w:rPr>
                <w:rFonts w:hint="eastAsia"/>
                <w:lang w:eastAsia="zh-CN"/>
              </w:rPr>
              <w:t>。</w:t>
            </w:r>
          </w:p>
          <w:p w14:paraId="507B7C0E">
            <w:pPr>
              <w:widowControl/>
              <w:spacing w:line="360" w:lineRule="auto"/>
              <w:ind w:firstLine="210" w:firstLineChars="100"/>
              <w:jc w:val="left"/>
              <w:textAlignment w:val="center"/>
              <w:rPr>
                <w:rFonts w:hint="eastAsia" w:eastAsia="宋体"/>
                <w:lang w:eastAsia="zh-CN"/>
              </w:rPr>
            </w:pPr>
            <w:r>
              <w:rPr>
                <w:rFonts w:hint="eastAsia"/>
                <w:lang w:val="en-US" w:eastAsia="zh-CN"/>
              </w:rPr>
              <w:t>5</w:t>
            </w:r>
            <w:r>
              <w:rPr>
                <w:rFonts w:hint="eastAsia"/>
              </w:rPr>
              <w:t>、蓄电池能承受50kPa的正压或或负压而不破裂、不开胶，压力释放后壳体无残余变形</w:t>
            </w:r>
            <w:r>
              <w:rPr>
                <w:rFonts w:hint="eastAsia"/>
                <w:lang w:eastAsia="zh-CN"/>
              </w:rPr>
              <w:t>。</w:t>
            </w:r>
          </w:p>
          <w:p w14:paraId="79E582C3">
            <w:pPr>
              <w:widowControl/>
              <w:spacing w:line="360" w:lineRule="auto"/>
              <w:ind w:firstLine="210" w:firstLineChars="100"/>
              <w:jc w:val="left"/>
              <w:textAlignment w:val="center"/>
              <w:rPr>
                <w:rFonts w:hint="eastAsia" w:eastAsia="宋体"/>
                <w:lang w:eastAsia="zh-CN"/>
              </w:rPr>
            </w:pPr>
            <w:r>
              <w:rPr>
                <w:rFonts w:hint="eastAsia"/>
                <w:lang w:val="en-US" w:eastAsia="zh-CN"/>
              </w:rPr>
              <w:t>6</w:t>
            </w:r>
            <w:r>
              <w:rPr>
                <w:rFonts w:hint="eastAsia"/>
              </w:rPr>
              <w:t>、蓄电池静置28天容量保存率≥99%</w:t>
            </w:r>
            <w:r>
              <w:rPr>
                <w:rFonts w:hint="eastAsia"/>
                <w:lang w:eastAsia="zh-CN"/>
              </w:rPr>
              <w:t>。</w:t>
            </w:r>
          </w:p>
          <w:p w14:paraId="79AEC5F4">
            <w:pPr>
              <w:widowControl/>
              <w:spacing w:line="360" w:lineRule="auto"/>
              <w:ind w:firstLine="210" w:firstLineChars="100"/>
              <w:jc w:val="left"/>
              <w:textAlignment w:val="center"/>
              <w:rPr>
                <w:rFonts w:hint="eastAsia" w:eastAsia="宋体"/>
                <w:lang w:eastAsia="zh-CN"/>
              </w:rPr>
            </w:pPr>
            <w:r>
              <w:rPr>
                <w:rFonts w:hint="eastAsia"/>
                <w:lang w:val="en-US" w:eastAsia="zh-CN"/>
              </w:rPr>
              <w:t>7</w:t>
            </w:r>
            <w:r>
              <w:t>、</w:t>
            </w:r>
            <w:r>
              <w:rPr>
                <w:rFonts w:hint="default"/>
              </w:rPr>
              <w:t>电池密封反应效率≥9</w:t>
            </w:r>
            <w:r>
              <w:t>7</w:t>
            </w:r>
            <w:r>
              <w:rPr>
                <w:rFonts w:hint="default"/>
              </w:rPr>
              <w:t>%</w:t>
            </w:r>
            <w:r>
              <w:rPr>
                <w:rFonts w:hint="eastAsia"/>
                <w:lang w:eastAsia="zh-CN"/>
              </w:rPr>
              <w:t>。</w:t>
            </w:r>
          </w:p>
          <w:p w14:paraId="1EC6C35F">
            <w:pPr>
              <w:widowControl/>
              <w:spacing w:line="360" w:lineRule="auto"/>
              <w:ind w:firstLine="210" w:firstLineChars="100"/>
              <w:jc w:val="left"/>
              <w:textAlignment w:val="center"/>
              <w:rPr>
                <w:rFonts w:hint="eastAsia" w:eastAsia="宋体"/>
                <w:lang w:eastAsia="zh-CN"/>
              </w:rPr>
            </w:pPr>
            <w:r>
              <w:rPr>
                <w:rFonts w:hint="eastAsia"/>
                <w:lang w:val="en-US" w:eastAsia="zh-CN"/>
              </w:rPr>
              <w:t>8</w:t>
            </w:r>
            <w:r>
              <w:rPr>
                <w:rFonts w:hint="eastAsia"/>
              </w:rPr>
              <w:t>、蓄电池温度≤38℃；每24h的电流增长率≤40%</w:t>
            </w:r>
            <w:r>
              <w:rPr>
                <w:rFonts w:hint="eastAsia"/>
                <w:lang w:eastAsia="zh-CN"/>
              </w:rPr>
              <w:t>。</w:t>
            </w:r>
          </w:p>
          <w:p w14:paraId="689B7C1E">
            <w:pPr>
              <w:widowControl/>
              <w:spacing w:line="360" w:lineRule="auto"/>
              <w:ind w:firstLine="210" w:firstLineChars="100"/>
              <w:jc w:val="left"/>
              <w:textAlignment w:val="center"/>
              <w:rPr>
                <w:rFonts w:hint="eastAsia" w:eastAsia="宋体"/>
                <w:lang w:eastAsia="zh-CN"/>
              </w:rPr>
            </w:pPr>
            <w:r>
              <w:rPr>
                <w:rFonts w:hint="eastAsia"/>
                <w:lang w:val="en-US" w:eastAsia="zh-CN"/>
              </w:rPr>
              <w:t>9</w:t>
            </w:r>
            <w:r>
              <w:rPr>
                <w:rFonts w:hint="eastAsia"/>
              </w:rPr>
              <w:t>、蓄电池过度放电，容量恢复值≥95%</w:t>
            </w:r>
            <w:r>
              <w:rPr>
                <w:rFonts w:hint="eastAsia"/>
                <w:lang w:eastAsia="zh-CN"/>
              </w:rPr>
              <w:t>。</w:t>
            </w:r>
          </w:p>
          <w:p w14:paraId="34E9FD88">
            <w:pPr>
              <w:widowControl/>
              <w:spacing w:line="360" w:lineRule="auto"/>
              <w:ind w:firstLine="210" w:firstLineChars="100"/>
              <w:jc w:val="left"/>
              <w:textAlignment w:val="center"/>
              <w:rPr>
                <w:rFonts w:hint="eastAsia" w:eastAsia="宋体"/>
                <w:lang w:eastAsia="zh-CN"/>
              </w:rPr>
            </w:pPr>
            <w:r>
              <w:rPr>
                <w:rFonts w:hint="eastAsia"/>
                <w:lang w:val="en-US" w:eastAsia="zh-CN"/>
              </w:rPr>
              <w:t>10</w:t>
            </w:r>
            <w:r>
              <w:rPr>
                <w:rFonts w:hint="eastAsia"/>
              </w:rPr>
              <w:t>、10h率容量≥0.96C10；外观无破裂、过度膨胀及槽、盖分离现象</w:t>
            </w:r>
            <w:r>
              <w:rPr>
                <w:rFonts w:hint="eastAsia"/>
                <w:lang w:eastAsia="zh-CN"/>
              </w:rPr>
              <w:t>。</w:t>
            </w:r>
          </w:p>
          <w:p w14:paraId="3088B9E6">
            <w:pPr>
              <w:widowControl/>
              <w:spacing w:line="360" w:lineRule="auto"/>
              <w:ind w:firstLine="210" w:firstLineChars="100"/>
              <w:jc w:val="left"/>
              <w:textAlignment w:val="center"/>
              <w:rPr>
                <w:rFonts w:hint="eastAsia" w:eastAsia="宋体"/>
                <w:lang w:eastAsia="zh-CN"/>
              </w:rPr>
            </w:pPr>
            <w:r>
              <w:rPr>
                <w:rFonts w:hint="eastAsia"/>
                <w:lang w:val="en-US" w:eastAsia="zh-CN"/>
              </w:rPr>
              <w:t>11</w:t>
            </w:r>
            <w:r>
              <w:rPr>
                <w:rFonts w:hint="eastAsia"/>
              </w:rPr>
              <w:t>、在恒压充电24h的在充电能力因素Rbf24h≥94%</w:t>
            </w:r>
            <w:r>
              <w:rPr>
                <w:rFonts w:hint="eastAsia"/>
                <w:lang w:eastAsia="zh-CN"/>
              </w:rPr>
              <w:t>。</w:t>
            </w:r>
          </w:p>
          <w:p w14:paraId="73E1609A">
            <w:pPr>
              <w:widowControl/>
              <w:spacing w:line="360" w:lineRule="auto"/>
              <w:ind w:firstLine="210" w:firstLineChars="100"/>
              <w:jc w:val="left"/>
              <w:textAlignment w:val="center"/>
              <w:rPr>
                <w:rFonts w:ascii="宋体" w:cs="宋体"/>
                <w:color w:val="auto"/>
                <w:szCs w:val="21"/>
              </w:rPr>
            </w:pPr>
            <w:r>
              <w:rPr>
                <w:rFonts w:hint="eastAsia"/>
                <w:lang w:val="en-US" w:eastAsia="zh-CN"/>
              </w:rPr>
              <w:t>12</w:t>
            </w:r>
            <w:r>
              <w:rPr>
                <w:rFonts w:hint="eastAsia"/>
              </w:rPr>
              <w:t>、蓄电池极柱端子应采用纯铜材料，提高蓄电池的导电性能；蓄电池需用纯铜无渡层端子，以保证电池导电性能</w:t>
            </w:r>
            <w:r>
              <w:rPr>
                <w:rFonts w:hint="eastAsia"/>
                <w:lang w:eastAsia="zh-CN"/>
              </w:rPr>
              <w:t>。</w:t>
            </w:r>
          </w:p>
        </w:tc>
      </w:tr>
      <w:tr w14:paraId="3572A43C">
        <w:tblPrEx>
          <w:tblCellMar>
            <w:top w:w="0" w:type="dxa"/>
            <w:left w:w="108" w:type="dxa"/>
            <w:bottom w:w="0" w:type="dxa"/>
            <w:right w:w="108" w:type="dxa"/>
          </w:tblCellMar>
        </w:tblPrEx>
        <w:trPr>
          <w:trHeight w:val="557" w:hRule="atLeast"/>
          <w:jc w:val="center"/>
        </w:trPr>
        <w:tc>
          <w:tcPr>
            <w:tcW w:w="674" w:type="dxa"/>
            <w:tcBorders>
              <w:top w:val="single" w:color="auto" w:sz="4" w:space="0"/>
              <w:left w:val="single" w:color="auto" w:sz="4" w:space="0"/>
              <w:bottom w:val="single" w:color="auto" w:sz="4" w:space="0"/>
              <w:right w:val="single" w:color="auto" w:sz="4" w:space="0"/>
            </w:tcBorders>
            <w:noWrap w:val="0"/>
            <w:vAlign w:val="center"/>
          </w:tcPr>
          <w:p w14:paraId="0798855D">
            <w:pPr>
              <w:widowControl/>
              <w:jc w:val="center"/>
              <w:textAlignment w:val="center"/>
              <w:rPr>
                <w:rFonts w:ascii="宋体" w:hAnsi="宋体" w:eastAsia="宋体" w:cs="宋体"/>
                <w:color w:val="auto"/>
                <w:kern w:val="0"/>
                <w:sz w:val="21"/>
                <w:szCs w:val="21"/>
              </w:rPr>
            </w:pPr>
            <w:r>
              <w:rPr>
                <w:rFonts w:hint="eastAsia" w:ascii="宋体" w:hAnsi="宋体" w:cs="宋体"/>
                <w:color w:val="auto"/>
                <w:kern w:val="0"/>
                <w:sz w:val="21"/>
                <w:szCs w:val="21"/>
                <w:lang w:val="en-US" w:eastAsia="zh-CN"/>
              </w:rPr>
              <w:t>2</w:t>
            </w:r>
          </w:p>
        </w:tc>
        <w:tc>
          <w:tcPr>
            <w:tcW w:w="1620" w:type="dxa"/>
            <w:tcBorders>
              <w:top w:val="single" w:color="auto" w:sz="4" w:space="0"/>
              <w:left w:val="nil"/>
              <w:bottom w:val="single" w:color="auto" w:sz="4" w:space="0"/>
              <w:right w:val="single" w:color="auto" w:sz="4" w:space="0"/>
            </w:tcBorders>
            <w:noWrap w:val="0"/>
            <w:vAlign w:val="center"/>
          </w:tcPr>
          <w:p w14:paraId="1C00121F">
            <w:pPr>
              <w:widowControl/>
              <w:jc w:val="center"/>
              <w:textAlignment w:val="center"/>
              <w:rPr>
                <w:rFonts w:hint="eastAsia" w:ascii="宋体" w:hAnsi="宋体" w:eastAsia="宋体" w:cs="宋体"/>
                <w:color w:val="auto"/>
                <w:kern w:val="0"/>
                <w:sz w:val="21"/>
                <w:szCs w:val="21"/>
                <w:highlight w:val="none"/>
              </w:rPr>
            </w:pPr>
            <w:r>
              <w:rPr>
                <w:rFonts w:ascii="宋体" w:hAnsi="宋体" w:eastAsia="宋体" w:cs="宋体"/>
                <w:color w:val="auto"/>
                <w:kern w:val="0"/>
                <w:sz w:val="21"/>
                <w:szCs w:val="21"/>
                <w:highlight w:val="none"/>
              </w:rPr>
              <w:t>移除原设备</w:t>
            </w:r>
          </w:p>
        </w:tc>
        <w:tc>
          <w:tcPr>
            <w:tcW w:w="6280" w:type="dxa"/>
            <w:tcBorders>
              <w:top w:val="single" w:color="auto" w:sz="4" w:space="0"/>
              <w:left w:val="nil"/>
              <w:bottom w:val="single" w:color="auto" w:sz="4" w:space="0"/>
              <w:right w:val="single" w:color="auto" w:sz="4" w:space="0"/>
            </w:tcBorders>
            <w:noWrap w:val="0"/>
            <w:vAlign w:val="center"/>
          </w:tcPr>
          <w:p w14:paraId="2506E994">
            <w:pPr>
              <w:spacing w:before="74" w:line="241" w:lineRule="auto"/>
              <w:ind w:right="194" w:rightChars="0"/>
              <w:jc w:val="both"/>
              <w:rPr>
                <w:rFonts w:hint="eastAsia"/>
                <w:sz w:val="21"/>
                <w:szCs w:val="21"/>
                <w:highlight w:val="none"/>
              </w:rPr>
            </w:pPr>
            <w:r>
              <w:rPr>
                <w:rFonts w:ascii="宋体" w:hAnsi="宋体" w:eastAsia="宋体" w:cs="宋体"/>
                <w:spacing w:val="-2"/>
                <w:sz w:val="21"/>
                <w:szCs w:val="21"/>
                <w:highlight w:val="none"/>
              </w:rPr>
              <w:t>按国</w:t>
            </w:r>
            <w:r>
              <w:rPr>
                <w:rFonts w:ascii="宋体" w:hAnsi="宋体" w:eastAsia="宋体" w:cs="宋体"/>
                <w:spacing w:val="-1"/>
                <w:sz w:val="21"/>
                <w:szCs w:val="21"/>
                <w:highlight w:val="none"/>
              </w:rPr>
              <w:t>家施工标准对电池进行开关机拆除等</w:t>
            </w:r>
            <w:r>
              <w:rPr>
                <w:rFonts w:hint="eastAsia" w:ascii="宋体" w:hAnsi="宋体" w:cs="宋体"/>
                <w:spacing w:val="-1"/>
                <w:sz w:val="21"/>
                <w:szCs w:val="21"/>
                <w:highlight w:val="none"/>
                <w:lang w:eastAsia="zh-CN"/>
              </w:rPr>
              <w:t>。</w:t>
            </w:r>
          </w:p>
        </w:tc>
      </w:tr>
      <w:tr w14:paraId="71206911">
        <w:tblPrEx>
          <w:tblCellMar>
            <w:top w:w="0" w:type="dxa"/>
            <w:left w:w="108" w:type="dxa"/>
            <w:bottom w:w="0" w:type="dxa"/>
            <w:right w:w="108" w:type="dxa"/>
          </w:tblCellMar>
        </w:tblPrEx>
        <w:trPr>
          <w:trHeight w:val="557" w:hRule="atLeast"/>
          <w:jc w:val="center"/>
        </w:trPr>
        <w:tc>
          <w:tcPr>
            <w:tcW w:w="674" w:type="dxa"/>
            <w:tcBorders>
              <w:top w:val="single" w:color="auto" w:sz="4" w:space="0"/>
              <w:left w:val="single" w:color="auto" w:sz="4" w:space="0"/>
              <w:bottom w:val="single" w:color="auto" w:sz="4" w:space="0"/>
              <w:right w:val="single" w:color="auto" w:sz="4" w:space="0"/>
            </w:tcBorders>
            <w:noWrap w:val="0"/>
            <w:vAlign w:val="center"/>
          </w:tcPr>
          <w:p w14:paraId="1683C037">
            <w:pPr>
              <w:widowControl/>
              <w:jc w:val="center"/>
              <w:textAlignment w:val="center"/>
              <w:rPr>
                <w:rFonts w:ascii="宋体" w:hAnsi="宋体" w:eastAsia="宋体" w:cs="宋体"/>
                <w:color w:val="auto"/>
                <w:kern w:val="0"/>
                <w:sz w:val="21"/>
                <w:szCs w:val="21"/>
              </w:rPr>
            </w:pPr>
            <w:r>
              <w:rPr>
                <w:rFonts w:hint="eastAsia" w:ascii="宋体" w:hAnsi="宋体" w:cs="宋体"/>
                <w:color w:val="auto"/>
                <w:kern w:val="0"/>
                <w:sz w:val="21"/>
                <w:szCs w:val="21"/>
                <w:lang w:val="en-US" w:eastAsia="zh-CN"/>
              </w:rPr>
              <w:t>3</w:t>
            </w:r>
          </w:p>
        </w:tc>
        <w:tc>
          <w:tcPr>
            <w:tcW w:w="1620" w:type="dxa"/>
            <w:tcBorders>
              <w:top w:val="single" w:color="auto" w:sz="4" w:space="0"/>
              <w:left w:val="nil"/>
              <w:bottom w:val="single" w:color="auto" w:sz="4" w:space="0"/>
              <w:right w:val="single" w:color="auto" w:sz="4" w:space="0"/>
            </w:tcBorders>
            <w:noWrap w:val="0"/>
            <w:vAlign w:val="center"/>
          </w:tcPr>
          <w:p w14:paraId="61BBA6EE">
            <w:pPr>
              <w:widowControl/>
              <w:jc w:val="center"/>
              <w:textAlignment w:val="center"/>
              <w:rPr>
                <w:rFonts w:hint="eastAsia" w:ascii="宋体" w:hAnsi="宋体" w:eastAsia="宋体" w:cs="宋体"/>
                <w:color w:val="auto"/>
                <w:kern w:val="0"/>
                <w:sz w:val="21"/>
                <w:szCs w:val="21"/>
                <w:highlight w:val="none"/>
              </w:rPr>
            </w:pPr>
            <w:r>
              <w:rPr>
                <w:rFonts w:ascii="宋体" w:hAnsi="宋体" w:eastAsia="宋体" w:cs="宋体"/>
                <w:color w:val="auto"/>
                <w:kern w:val="0"/>
                <w:sz w:val="21"/>
                <w:szCs w:val="21"/>
                <w:highlight w:val="none"/>
              </w:rPr>
              <w:t>安装调试</w:t>
            </w:r>
          </w:p>
        </w:tc>
        <w:tc>
          <w:tcPr>
            <w:tcW w:w="6280" w:type="dxa"/>
            <w:tcBorders>
              <w:top w:val="single" w:color="auto" w:sz="4" w:space="0"/>
              <w:left w:val="nil"/>
              <w:bottom w:val="single" w:color="auto" w:sz="4" w:space="0"/>
              <w:right w:val="single" w:color="auto" w:sz="4" w:space="0"/>
            </w:tcBorders>
            <w:noWrap w:val="0"/>
            <w:vAlign w:val="center"/>
          </w:tcPr>
          <w:p w14:paraId="1FA197B1">
            <w:pPr>
              <w:spacing w:before="48" w:line="255" w:lineRule="auto"/>
              <w:ind w:right="139" w:rightChars="0"/>
              <w:jc w:val="both"/>
              <w:rPr>
                <w:rFonts w:hint="eastAsia"/>
                <w:sz w:val="21"/>
                <w:szCs w:val="21"/>
                <w:highlight w:val="none"/>
              </w:rPr>
            </w:pPr>
            <w:r>
              <w:rPr>
                <w:rFonts w:ascii="宋体" w:hAnsi="宋体" w:eastAsia="宋体" w:cs="宋体"/>
                <w:spacing w:val="-2"/>
                <w:sz w:val="21"/>
                <w:szCs w:val="21"/>
                <w:highlight w:val="none"/>
              </w:rPr>
              <w:t>按国</w:t>
            </w:r>
            <w:r>
              <w:rPr>
                <w:rFonts w:ascii="宋体" w:hAnsi="宋体" w:eastAsia="宋体" w:cs="宋体"/>
                <w:spacing w:val="-1"/>
                <w:sz w:val="21"/>
                <w:szCs w:val="21"/>
                <w:highlight w:val="none"/>
              </w:rPr>
              <w:t>家电力标准进行开关机调试，保证</w:t>
            </w:r>
            <w:r>
              <w:rPr>
                <w:rFonts w:hint="eastAsia" w:ascii="宋体" w:hAnsi="宋体" w:cs="宋体"/>
                <w:spacing w:val="-1"/>
                <w:sz w:val="21"/>
                <w:szCs w:val="21"/>
                <w:highlight w:val="none"/>
                <w:lang w:val="en-US" w:eastAsia="zh-CN"/>
              </w:rPr>
              <w:t>科室</w:t>
            </w:r>
            <w:r>
              <w:rPr>
                <w:rFonts w:ascii="宋体" w:hAnsi="宋体" w:eastAsia="宋体" w:cs="宋体"/>
                <w:spacing w:val="-1"/>
                <w:sz w:val="21"/>
                <w:szCs w:val="21"/>
                <w:highlight w:val="none"/>
              </w:rPr>
              <w:t>设备的正常</w:t>
            </w:r>
            <w:r>
              <w:rPr>
                <w:rFonts w:ascii="宋体" w:hAnsi="宋体" w:eastAsia="宋体" w:cs="宋体"/>
                <w:sz w:val="21"/>
                <w:szCs w:val="21"/>
                <w:highlight w:val="none"/>
              </w:rPr>
              <w:t>运</w:t>
            </w:r>
            <w:r>
              <w:rPr>
                <w:rFonts w:ascii="宋体" w:hAnsi="宋体" w:eastAsia="宋体" w:cs="宋体"/>
                <w:spacing w:val="-1"/>
                <w:sz w:val="21"/>
                <w:szCs w:val="21"/>
                <w:highlight w:val="none"/>
              </w:rPr>
              <w:t>行，不能出现掉电现</w:t>
            </w:r>
            <w:r>
              <w:rPr>
                <w:rFonts w:ascii="宋体" w:hAnsi="宋体" w:eastAsia="宋体" w:cs="宋体"/>
                <w:spacing w:val="-10"/>
                <w:sz w:val="21"/>
                <w:szCs w:val="21"/>
                <w:highlight w:val="none"/>
              </w:rPr>
              <w:t>象</w:t>
            </w:r>
            <w:r>
              <w:rPr>
                <w:rFonts w:ascii="宋体" w:hAnsi="宋体" w:eastAsia="宋体" w:cs="宋体"/>
                <w:spacing w:val="-9"/>
                <w:sz w:val="21"/>
                <w:szCs w:val="21"/>
                <w:highlight w:val="none"/>
              </w:rPr>
              <w:t>，</w:t>
            </w:r>
            <w:r>
              <w:rPr>
                <w:rFonts w:ascii="宋体" w:hAnsi="宋体" w:eastAsia="宋体" w:cs="宋体"/>
                <w:spacing w:val="-5"/>
                <w:sz w:val="21"/>
                <w:szCs w:val="21"/>
                <w:highlight w:val="none"/>
              </w:rPr>
              <w:t>防止</w:t>
            </w:r>
            <w:r>
              <w:rPr>
                <w:rFonts w:hint="eastAsia" w:ascii="宋体" w:hAnsi="宋体" w:eastAsia="宋体" w:cs="宋体"/>
                <w:spacing w:val="-5"/>
                <w:sz w:val="21"/>
                <w:szCs w:val="21"/>
                <w:highlight w:val="none"/>
                <w:lang w:val="en-US" w:eastAsia="zh-CN"/>
              </w:rPr>
              <w:t>精密设备</w:t>
            </w:r>
            <w:r>
              <w:rPr>
                <w:rFonts w:ascii="宋体" w:hAnsi="宋体" w:eastAsia="宋体" w:cs="宋体"/>
                <w:spacing w:val="-5"/>
                <w:sz w:val="21"/>
                <w:szCs w:val="21"/>
                <w:highlight w:val="none"/>
              </w:rPr>
              <w:t>因</w:t>
            </w:r>
            <w:r>
              <w:rPr>
                <w:rFonts w:ascii="宋体" w:hAnsi="宋体" w:eastAsia="宋体" w:cs="宋体"/>
                <w:spacing w:val="-1"/>
                <w:sz w:val="21"/>
                <w:szCs w:val="21"/>
                <w:highlight w:val="none"/>
              </w:rPr>
              <w:t>掉电造成经济损</w:t>
            </w:r>
            <w:r>
              <w:rPr>
                <w:rFonts w:ascii="宋体" w:hAnsi="宋体" w:eastAsia="宋体" w:cs="宋体"/>
                <w:sz w:val="21"/>
                <w:szCs w:val="21"/>
                <w:highlight w:val="none"/>
              </w:rPr>
              <w:t>失</w:t>
            </w:r>
            <w:r>
              <w:rPr>
                <w:rFonts w:hint="eastAsia" w:ascii="宋体" w:hAnsi="宋体" w:cs="宋体"/>
                <w:sz w:val="21"/>
                <w:szCs w:val="21"/>
                <w:highlight w:val="none"/>
                <w:lang w:eastAsia="zh-CN"/>
              </w:rPr>
              <w:t>。</w:t>
            </w:r>
          </w:p>
        </w:tc>
      </w:tr>
      <w:tr w14:paraId="69ED6485">
        <w:tblPrEx>
          <w:tblCellMar>
            <w:top w:w="0" w:type="dxa"/>
            <w:left w:w="108" w:type="dxa"/>
            <w:bottom w:w="0" w:type="dxa"/>
            <w:right w:w="108" w:type="dxa"/>
          </w:tblCellMar>
        </w:tblPrEx>
        <w:trPr>
          <w:trHeight w:val="567" w:hRule="atLeast"/>
          <w:jc w:val="center"/>
        </w:trPr>
        <w:tc>
          <w:tcPr>
            <w:tcW w:w="2294" w:type="dxa"/>
            <w:gridSpan w:val="2"/>
            <w:tcBorders>
              <w:top w:val="single" w:color="auto" w:sz="4" w:space="0"/>
              <w:left w:val="single" w:color="auto" w:sz="4" w:space="0"/>
              <w:bottom w:val="single" w:color="auto" w:sz="4" w:space="0"/>
              <w:right w:val="single" w:color="auto" w:sz="4" w:space="0"/>
            </w:tcBorders>
            <w:noWrap/>
            <w:vAlign w:val="center"/>
          </w:tcPr>
          <w:p w14:paraId="0B6E247E">
            <w:pPr>
              <w:widowControl/>
              <w:jc w:val="center"/>
              <w:rPr>
                <w:rFonts w:ascii="宋体" w:cs="宋体"/>
                <w:color w:val="auto"/>
                <w:kern w:val="0"/>
                <w:sz w:val="21"/>
                <w:szCs w:val="21"/>
              </w:rPr>
            </w:pPr>
            <w:r>
              <w:rPr>
                <w:rFonts w:hint="eastAsia" w:ascii="宋体" w:hAnsi="宋体" w:cs="宋体"/>
                <w:color w:val="auto"/>
                <w:kern w:val="0"/>
                <w:sz w:val="21"/>
                <w:szCs w:val="21"/>
              </w:rPr>
              <w:t>质量标准</w:t>
            </w:r>
          </w:p>
        </w:tc>
        <w:tc>
          <w:tcPr>
            <w:tcW w:w="6280" w:type="dxa"/>
            <w:tcBorders>
              <w:top w:val="single" w:color="auto" w:sz="4" w:space="0"/>
              <w:left w:val="nil"/>
              <w:bottom w:val="single" w:color="auto" w:sz="4" w:space="0"/>
              <w:right w:val="single" w:color="auto" w:sz="4" w:space="0"/>
            </w:tcBorders>
            <w:noWrap/>
            <w:vAlign w:val="center"/>
          </w:tcPr>
          <w:p w14:paraId="0AAF0A6A">
            <w:pPr>
              <w:widowControl/>
              <w:shd w:val="clear" w:color="auto" w:fill="FFFFFF"/>
              <w:jc w:val="both"/>
              <w:rPr>
                <w:rFonts w:ascii="宋体" w:cs="宋体"/>
                <w:b/>
                <w:bCs/>
                <w:color w:val="auto"/>
                <w:kern w:val="0"/>
                <w:sz w:val="21"/>
                <w:szCs w:val="21"/>
              </w:rPr>
            </w:pPr>
            <w:r>
              <w:rPr>
                <w:rFonts w:hint="eastAsia" w:ascii="宋体" w:hAnsi="宋体" w:cs="宋体"/>
                <w:color w:val="auto"/>
                <w:kern w:val="0"/>
                <w:sz w:val="21"/>
                <w:szCs w:val="21"/>
              </w:rPr>
              <w:t>符合现行国家质量要求和行业有关标准。</w:t>
            </w:r>
          </w:p>
        </w:tc>
      </w:tr>
    </w:tbl>
    <w:p w14:paraId="3DB19B79">
      <w:pPr>
        <w:pStyle w:val="22"/>
        <w:jc w:val="center"/>
        <w:rPr>
          <w:rFonts w:hint="eastAsia" w:ascii="宋体" w:hAnsi="宋体" w:eastAsia="宋体" w:cs="宋体"/>
          <w:b/>
          <w:bCs/>
          <w:color w:val="auto"/>
          <w:sz w:val="21"/>
          <w:szCs w:val="21"/>
          <w:lang w:val="en-US" w:eastAsia="zh-CN"/>
        </w:rPr>
      </w:pPr>
    </w:p>
    <w:p w14:paraId="0A14CAA2">
      <w:pPr>
        <w:pStyle w:val="13"/>
        <w:keepNext w:val="0"/>
        <w:keepLines w:val="0"/>
        <w:pageBreakBefore w:val="0"/>
        <w:widowControl/>
        <w:kinsoku/>
        <w:wordWrap/>
        <w:overflowPunct/>
        <w:topLinePunct w:val="0"/>
        <w:autoSpaceDE/>
        <w:autoSpaceDN/>
        <w:bidi w:val="0"/>
        <w:adjustRightInd/>
        <w:snapToGrid w:val="0"/>
        <w:spacing w:beforeAutospacing="0" w:after="161" w:afterLines="50" w:afterAutospacing="0" w:line="240" w:lineRule="auto"/>
        <w:jc w:val="both"/>
        <w:textAlignment w:val="auto"/>
        <w:rPr>
          <w:rFonts w:hint="eastAsia"/>
          <w:b/>
          <w:bCs/>
          <w:color w:val="auto"/>
          <w:sz w:val="30"/>
          <w:szCs w:val="30"/>
          <w:highlight w:val="none"/>
        </w:rPr>
      </w:pPr>
    </w:p>
    <w:p w14:paraId="76C58F33">
      <w:pPr>
        <w:pStyle w:val="14"/>
        <w:rPr>
          <w:rFonts w:hint="eastAsia"/>
        </w:rPr>
      </w:pPr>
    </w:p>
    <w:p w14:paraId="3EBAA694">
      <w:pPr>
        <w:pStyle w:val="13"/>
        <w:keepNext w:val="0"/>
        <w:keepLines w:val="0"/>
        <w:pageBreakBefore w:val="0"/>
        <w:widowControl/>
        <w:kinsoku/>
        <w:wordWrap/>
        <w:overflowPunct/>
        <w:topLinePunct w:val="0"/>
        <w:autoSpaceDE/>
        <w:autoSpaceDN/>
        <w:bidi w:val="0"/>
        <w:adjustRightInd/>
        <w:snapToGrid w:val="0"/>
        <w:spacing w:beforeAutospacing="0" w:after="161" w:afterLines="50" w:afterAutospacing="0" w:line="240" w:lineRule="auto"/>
        <w:jc w:val="center"/>
        <w:textAlignment w:val="auto"/>
        <w:rPr>
          <w:rFonts w:hint="eastAsia"/>
          <w:b/>
          <w:bCs/>
          <w:color w:val="auto"/>
          <w:sz w:val="30"/>
          <w:szCs w:val="30"/>
          <w:highlight w:val="none"/>
        </w:rPr>
      </w:pPr>
    </w:p>
    <w:p w14:paraId="3025EBBB">
      <w:pPr>
        <w:pStyle w:val="14"/>
        <w:rPr>
          <w:rFonts w:hint="eastAsia"/>
        </w:rPr>
      </w:pPr>
    </w:p>
    <w:p w14:paraId="0D6E96F4">
      <w:pPr>
        <w:pStyle w:val="13"/>
        <w:keepNext w:val="0"/>
        <w:keepLines w:val="0"/>
        <w:pageBreakBefore w:val="0"/>
        <w:widowControl/>
        <w:kinsoku/>
        <w:wordWrap/>
        <w:overflowPunct/>
        <w:topLinePunct w:val="0"/>
        <w:autoSpaceDE/>
        <w:autoSpaceDN/>
        <w:bidi w:val="0"/>
        <w:adjustRightInd/>
        <w:snapToGrid w:val="0"/>
        <w:spacing w:beforeAutospacing="0" w:after="161" w:afterLines="50" w:afterAutospacing="0" w:line="240" w:lineRule="auto"/>
        <w:jc w:val="center"/>
        <w:textAlignment w:val="auto"/>
        <w:rPr>
          <w:b/>
          <w:bCs/>
          <w:color w:val="auto"/>
          <w:sz w:val="30"/>
          <w:szCs w:val="30"/>
          <w:highlight w:val="none"/>
        </w:rPr>
      </w:pPr>
      <w:r>
        <w:rPr>
          <w:rFonts w:hint="eastAsia"/>
          <w:b/>
          <w:bCs/>
          <w:color w:val="auto"/>
          <w:sz w:val="30"/>
          <w:szCs w:val="30"/>
          <w:highlight w:val="none"/>
        </w:rPr>
        <w:t>商务要求</w:t>
      </w:r>
    </w:p>
    <w:tbl>
      <w:tblPr>
        <w:tblStyle w:val="32"/>
        <w:tblpPr w:leftFromText="180" w:rightFromText="180" w:vertAnchor="text" w:tblpXSpec="center" w:tblpY="1"/>
        <w:tblOverlap w:val="never"/>
        <w:tblW w:w="94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32"/>
        <w:gridCol w:w="7354"/>
      </w:tblGrid>
      <w:tr w14:paraId="775DB3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6D1C7A4B">
            <w:pPr>
              <w:pStyle w:val="13"/>
              <w:ind w:left="0" w:left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合同签订时间</w:t>
            </w:r>
          </w:p>
        </w:tc>
        <w:tc>
          <w:tcPr>
            <w:tcW w:w="7354" w:type="dxa"/>
            <w:tcBorders>
              <w:top w:val="single" w:color="auto" w:sz="4" w:space="0"/>
              <w:left w:val="single" w:color="auto" w:sz="4" w:space="0"/>
              <w:bottom w:val="single" w:color="auto" w:sz="4" w:space="0"/>
              <w:right w:val="single" w:color="auto" w:sz="4" w:space="0"/>
            </w:tcBorders>
            <w:noWrap/>
            <w:vAlign w:val="center"/>
          </w:tcPr>
          <w:p w14:paraId="1FBBA53D">
            <w:pPr>
              <w:pStyle w:val="13"/>
              <w:ind w:left="0" w:left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自</w:t>
            </w:r>
            <w:r>
              <w:rPr>
                <w:rFonts w:hint="eastAsia" w:cs="宋体"/>
                <w:sz w:val="21"/>
                <w:szCs w:val="21"/>
                <w:lang w:val="en-US" w:eastAsia="zh-CN"/>
              </w:rPr>
              <w:t>成交通知书</w:t>
            </w:r>
            <w:r>
              <w:rPr>
                <w:rFonts w:hint="eastAsia" w:ascii="宋体" w:hAnsi="宋体" w:eastAsia="宋体" w:cs="宋体"/>
                <w:sz w:val="21"/>
                <w:szCs w:val="21"/>
                <w:lang w:val="en-US" w:eastAsia="zh-CN"/>
              </w:rPr>
              <w:t>发出之日起三十个日历日内。</w:t>
            </w:r>
          </w:p>
        </w:tc>
      </w:tr>
      <w:tr w14:paraId="0A306B5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399ED0FA">
            <w:pPr>
              <w:pStyle w:val="13"/>
              <w:ind w:left="0" w:leftChars="0"/>
              <w:jc w:val="center"/>
              <w:rPr>
                <w:rFonts w:hint="eastAsia"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交货期</w:t>
            </w:r>
          </w:p>
        </w:tc>
        <w:tc>
          <w:tcPr>
            <w:tcW w:w="7354" w:type="dxa"/>
            <w:tcBorders>
              <w:top w:val="single" w:color="auto" w:sz="4" w:space="0"/>
              <w:left w:val="single" w:color="auto" w:sz="4" w:space="0"/>
              <w:bottom w:val="single" w:color="auto" w:sz="4" w:space="0"/>
              <w:right w:val="single" w:color="auto" w:sz="4" w:space="0"/>
            </w:tcBorders>
            <w:noWrap/>
            <w:vAlign w:val="center"/>
          </w:tcPr>
          <w:p w14:paraId="30805E23">
            <w:pPr>
              <w:pStyle w:val="13"/>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合同签订后30日内。</w:t>
            </w:r>
          </w:p>
        </w:tc>
      </w:tr>
      <w:tr w14:paraId="17721AB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28BF5BA8">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交货地点</w:t>
            </w:r>
          </w:p>
        </w:tc>
        <w:tc>
          <w:tcPr>
            <w:tcW w:w="7354" w:type="dxa"/>
            <w:tcBorders>
              <w:top w:val="single" w:color="auto" w:sz="4" w:space="0"/>
              <w:left w:val="single" w:color="auto" w:sz="4" w:space="0"/>
              <w:bottom w:val="single" w:color="auto" w:sz="4" w:space="0"/>
              <w:right w:val="single" w:color="auto" w:sz="4" w:space="0"/>
            </w:tcBorders>
            <w:noWrap/>
            <w:vAlign w:val="center"/>
          </w:tcPr>
          <w:p w14:paraId="167988DE">
            <w:pPr>
              <w:pStyle w:val="13"/>
              <w:ind w:left="0" w:leftChars="0"/>
              <w:jc w:val="left"/>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采购人指定地点。</w:t>
            </w:r>
          </w:p>
        </w:tc>
      </w:tr>
      <w:tr w14:paraId="37D104D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77A9668F">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质量要求</w:t>
            </w:r>
          </w:p>
        </w:tc>
        <w:tc>
          <w:tcPr>
            <w:tcW w:w="7354" w:type="dxa"/>
            <w:tcBorders>
              <w:top w:val="single" w:color="auto" w:sz="4" w:space="0"/>
              <w:left w:val="single" w:color="auto" w:sz="4" w:space="0"/>
              <w:bottom w:val="single" w:color="auto" w:sz="4" w:space="0"/>
              <w:right w:val="single" w:color="auto" w:sz="4" w:space="0"/>
            </w:tcBorders>
            <w:noWrap/>
            <w:vAlign w:val="center"/>
          </w:tcPr>
          <w:p w14:paraId="3AD1193F">
            <w:pPr>
              <w:pStyle w:val="13"/>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符合现行国家质量要求和行业有关标准。</w:t>
            </w:r>
          </w:p>
        </w:tc>
      </w:tr>
      <w:tr w14:paraId="4732C0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726B9BC2">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质保期</w:t>
            </w:r>
          </w:p>
        </w:tc>
        <w:tc>
          <w:tcPr>
            <w:tcW w:w="7354" w:type="dxa"/>
            <w:tcBorders>
              <w:top w:val="single" w:color="auto" w:sz="4" w:space="0"/>
              <w:left w:val="single" w:color="auto" w:sz="4" w:space="0"/>
              <w:bottom w:val="single" w:color="auto" w:sz="4" w:space="0"/>
              <w:right w:val="single" w:color="auto" w:sz="4" w:space="0"/>
            </w:tcBorders>
            <w:noWrap/>
            <w:vAlign w:val="center"/>
          </w:tcPr>
          <w:p w14:paraId="1C979D47">
            <w:pPr>
              <w:pStyle w:val="13"/>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cs="宋体"/>
                <w:kern w:val="2"/>
                <w:sz w:val="21"/>
                <w:szCs w:val="24"/>
                <w:lang w:val="en-US" w:eastAsia="zh-CN" w:bidi="ar-SA"/>
              </w:rPr>
              <w:t>36个月。</w:t>
            </w:r>
          </w:p>
        </w:tc>
      </w:tr>
      <w:tr w14:paraId="0CAA33C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1FFB6E45">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sz w:val="21"/>
                <w:szCs w:val="21"/>
              </w:rPr>
              <w:t>付款方式</w:t>
            </w:r>
          </w:p>
        </w:tc>
        <w:tc>
          <w:tcPr>
            <w:tcW w:w="7354" w:type="dxa"/>
            <w:tcBorders>
              <w:top w:val="single" w:color="auto" w:sz="4" w:space="0"/>
              <w:left w:val="single" w:color="auto" w:sz="4" w:space="0"/>
              <w:bottom w:val="single" w:color="auto" w:sz="4" w:space="0"/>
              <w:right w:val="single" w:color="auto" w:sz="4" w:space="0"/>
            </w:tcBorders>
            <w:noWrap/>
            <w:vAlign w:val="center"/>
          </w:tcPr>
          <w:p w14:paraId="1C4DC000">
            <w:pPr>
              <w:pStyle w:val="13"/>
              <w:spacing w:line="360" w:lineRule="auto"/>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经验收合格后支付。</w:t>
            </w:r>
          </w:p>
        </w:tc>
      </w:tr>
    </w:tbl>
    <w:p w14:paraId="7BC87E87">
      <w:pPr>
        <w:keepNext w:val="0"/>
        <w:keepLines w:val="0"/>
        <w:pageBreakBefore w:val="0"/>
        <w:widowControl w:val="0"/>
        <w:kinsoku/>
        <w:wordWrap/>
        <w:overflowPunct/>
        <w:topLinePunct w:val="0"/>
        <w:autoSpaceDE/>
        <w:autoSpaceDN/>
        <w:bidi w:val="0"/>
        <w:adjustRightInd/>
        <w:snapToGrid w:val="0"/>
        <w:spacing w:before="480" w:beforeLines="150" w:line="480" w:lineRule="auto"/>
        <w:jc w:val="center"/>
        <w:textAlignment w:val="auto"/>
        <w:rPr>
          <w:b/>
          <w:bCs/>
          <w:color w:val="auto"/>
          <w:sz w:val="30"/>
          <w:szCs w:val="30"/>
          <w:highlight w:val="none"/>
        </w:rPr>
      </w:pPr>
      <w:r>
        <w:rPr>
          <w:rFonts w:hint="eastAsia"/>
          <w:b/>
          <w:bCs/>
          <w:color w:val="auto"/>
          <w:sz w:val="30"/>
          <w:szCs w:val="30"/>
          <w:highlight w:val="none"/>
        </w:rPr>
        <w:t>采购人对项目的特殊要求及说明</w:t>
      </w:r>
    </w:p>
    <w:tbl>
      <w:tblPr>
        <w:tblStyle w:val="32"/>
        <w:tblW w:w="936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26"/>
        <w:gridCol w:w="7343"/>
      </w:tblGrid>
      <w:tr w14:paraId="41EEDF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41" w:hRule="atLeast"/>
          <w:jc w:val="center"/>
        </w:trPr>
        <w:tc>
          <w:tcPr>
            <w:tcW w:w="2026" w:type="dxa"/>
            <w:tcBorders>
              <w:top w:val="single" w:color="auto" w:sz="4" w:space="0"/>
              <w:left w:val="single" w:color="auto" w:sz="4" w:space="0"/>
              <w:bottom w:val="single" w:color="auto" w:sz="4" w:space="0"/>
              <w:right w:val="single" w:color="auto" w:sz="4" w:space="0"/>
            </w:tcBorders>
            <w:vAlign w:val="center"/>
          </w:tcPr>
          <w:p w14:paraId="7EA45E2F">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采购人的特殊要求及说明理由</w:t>
            </w:r>
          </w:p>
        </w:tc>
        <w:tc>
          <w:tcPr>
            <w:tcW w:w="7343" w:type="dxa"/>
            <w:tcBorders>
              <w:top w:val="single" w:color="auto" w:sz="4" w:space="0"/>
              <w:left w:val="single" w:color="auto" w:sz="4" w:space="0"/>
              <w:bottom w:val="single" w:color="auto" w:sz="4" w:space="0"/>
              <w:right w:val="single" w:color="auto" w:sz="4" w:space="0"/>
            </w:tcBorders>
            <w:vAlign w:val="center"/>
          </w:tcPr>
          <w:p w14:paraId="62BD900D">
            <w:pPr>
              <w:widowControl/>
              <w:numPr>
                <w:ilvl w:val="0"/>
                <w:numId w:val="1"/>
              </w:numPr>
              <w:snapToGrid w:val="0"/>
              <w:spacing w:line="360" w:lineRule="auto"/>
            </w:pPr>
            <w:r>
              <w:rPr>
                <w:rFonts w:hint="eastAsia"/>
              </w:rPr>
              <w:t>不接受联合体投标，不允许转包和分包。</w:t>
            </w:r>
          </w:p>
          <w:p w14:paraId="585CCE6C">
            <w:pPr>
              <w:widowControl/>
              <w:snapToGrid w:val="0"/>
              <w:spacing w:line="360" w:lineRule="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2、授权</w:t>
            </w:r>
            <w:r>
              <w:rPr>
                <w:rFonts w:hint="eastAsia" w:cs="Times New Roman"/>
                <w:lang w:val="en-US" w:eastAsia="zh-CN"/>
              </w:rPr>
              <w:t>磋商小组</w:t>
            </w:r>
            <w:r>
              <w:rPr>
                <w:rFonts w:hint="eastAsia" w:ascii="Times New Roman" w:hAnsi="Times New Roman" w:eastAsia="宋体" w:cs="Times New Roman"/>
                <w:lang w:val="en-US" w:eastAsia="zh-CN"/>
              </w:rPr>
              <w:t>确定一名</w:t>
            </w:r>
            <w:r>
              <w:rPr>
                <w:rFonts w:hint="eastAsia" w:cs="Times New Roman"/>
                <w:lang w:val="en-US" w:eastAsia="zh-CN"/>
              </w:rPr>
              <w:t>成交人</w:t>
            </w:r>
            <w:r>
              <w:rPr>
                <w:rFonts w:hint="eastAsia" w:ascii="Times New Roman" w:hAnsi="Times New Roman" w:eastAsia="宋体" w:cs="Times New Roman"/>
                <w:lang w:val="en-US" w:eastAsia="zh-CN"/>
              </w:rPr>
              <w:t>并推荐</w:t>
            </w:r>
            <w:r>
              <w:rPr>
                <w:rFonts w:hint="eastAsia" w:cs="Times New Roman"/>
                <w:lang w:val="en-US" w:eastAsia="zh-CN"/>
              </w:rPr>
              <w:t>一</w:t>
            </w:r>
            <w:r>
              <w:rPr>
                <w:rFonts w:hint="eastAsia" w:ascii="Times New Roman" w:hAnsi="Times New Roman" w:eastAsia="宋体" w:cs="Times New Roman"/>
                <w:lang w:val="en-US" w:eastAsia="zh-CN"/>
              </w:rPr>
              <w:t>名</w:t>
            </w:r>
            <w:r>
              <w:rPr>
                <w:rFonts w:hint="eastAsia" w:cs="Times New Roman"/>
                <w:lang w:val="en-US" w:eastAsia="zh-CN"/>
              </w:rPr>
              <w:t>成交候选人</w:t>
            </w:r>
            <w:r>
              <w:rPr>
                <w:rFonts w:hint="eastAsia" w:ascii="Times New Roman" w:hAnsi="Times New Roman" w:eastAsia="宋体" w:cs="Times New Roman"/>
                <w:lang w:val="en-US" w:eastAsia="zh-CN"/>
              </w:rPr>
              <w:t>。</w:t>
            </w:r>
          </w:p>
          <w:p w14:paraId="0ABD32BE">
            <w:pPr>
              <w:widowControl/>
              <w:snapToGrid w:val="0"/>
              <w:spacing w:line="360" w:lineRule="auto"/>
              <w:rPr>
                <w:rFonts w:hint="default" w:eastAsia="宋体"/>
                <w:lang w:val="en-US" w:eastAsia="zh-CN"/>
              </w:rPr>
            </w:pPr>
            <w:r>
              <w:rPr>
                <w:rFonts w:hint="eastAsia" w:ascii="Times New Roman" w:hAnsi="Times New Roman" w:eastAsia="宋体" w:cs="Times New Roman"/>
                <w:lang w:val="en-US" w:eastAsia="zh-CN"/>
              </w:rPr>
              <w:t>3、供应商应根据采购文件的要求提供技术响应</w:t>
            </w:r>
            <w:r>
              <w:rPr>
                <w:rFonts w:hint="eastAsia" w:cs="Times New Roman"/>
                <w:lang w:val="en-US" w:eastAsia="zh-CN"/>
              </w:rPr>
              <w:t>部分</w:t>
            </w:r>
            <w:r>
              <w:rPr>
                <w:rFonts w:hint="eastAsia" w:ascii="Times New Roman" w:hAnsi="Times New Roman" w:eastAsia="宋体" w:cs="Times New Roman"/>
                <w:lang w:val="en-US" w:eastAsia="zh-CN"/>
              </w:rPr>
              <w:t>、商务响应</w:t>
            </w:r>
            <w:r>
              <w:rPr>
                <w:rFonts w:hint="eastAsia" w:cs="Times New Roman"/>
                <w:lang w:val="en-US" w:eastAsia="zh-CN"/>
              </w:rPr>
              <w:t>部分</w:t>
            </w:r>
            <w:r>
              <w:rPr>
                <w:rFonts w:hint="eastAsia" w:ascii="Times New Roman" w:hAnsi="Times New Roman" w:eastAsia="宋体" w:cs="Times New Roman"/>
                <w:lang w:val="en-US" w:eastAsia="zh-CN"/>
              </w:rPr>
              <w:t>等内容以对采购文件作出响应。</w:t>
            </w:r>
          </w:p>
        </w:tc>
      </w:tr>
    </w:tbl>
    <w:p w14:paraId="188229DE">
      <w:pPr>
        <w:rPr>
          <w:color w:val="auto"/>
          <w:highlight w:val="none"/>
        </w:rPr>
      </w:pPr>
    </w:p>
    <w:p w14:paraId="4A6B9C53">
      <w:pPr>
        <w:rPr>
          <w:rFonts w:hint="eastAsia"/>
          <w:b/>
          <w:bCs/>
          <w:color w:val="auto"/>
          <w:sz w:val="32"/>
          <w:szCs w:val="32"/>
          <w:highlight w:val="none"/>
        </w:rPr>
      </w:pPr>
      <w:r>
        <w:rPr>
          <w:rFonts w:hint="eastAsia"/>
          <w:b/>
          <w:bCs/>
          <w:color w:val="auto"/>
          <w:sz w:val="32"/>
          <w:szCs w:val="32"/>
          <w:highlight w:val="none"/>
        </w:rPr>
        <w:br w:type="page"/>
      </w:r>
    </w:p>
    <w:p w14:paraId="728FF712">
      <w:pPr>
        <w:jc w:val="center"/>
        <w:outlineLvl w:val="0"/>
        <w:rPr>
          <w:b/>
          <w:bCs/>
          <w:color w:val="auto"/>
          <w:sz w:val="32"/>
          <w:szCs w:val="32"/>
          <w:highlight w:val="none"/>
        </w:rPr>
      </w:pPr>
      <w:bookmarkStart w:id="35" w:name="_Toc16791"/>
      <w:r>
        <w:rPr>
          <w:rFonts w:hint="eastAsia"/>
          <w:b/>
          <w:bCs/>
          <w:color w:val="auto"/>
          <w:sz w:val="32"/>
          <w:szCs w:val="32"/>
          <w:highlight w:val="none"/>
        </w:rPr>
        <w:t xml:space="preserve">第三章  </w:t>
      </w:r>
      <w:r>
        <w:rPr>
          <w:rFonts w:hint="eastAsia"/>
          <w:b/>
          <w:bCs/>
          <w:color w:val="auto"/>
          <w:sz w:val="32"/>
          <w:szCs w:val="32"/>
          <w:highlight w:val="none"/>
          <w:lang w:eastAsia="zh-CN"/>
        </w:rPr>
        <w:t>供应商</w:t>
      </w:r>
      <w:r>
        <w:rPr>
          <w:rFonts w:hint="eastAsia"/>
          <w:b/>
          <w:bCs/>
          <w:color w:val="auto"/>
          <w:sz w:val="32"/>
          <w:szCs w:val="32"/>
          <w:highlight w:val="none"/>
        </w:rPr>
        <w:t>须知</w:t>
      </w:r>
      <w:bookmarkEnd w:id="35"/>
    </w:p>
    <w:p w14:paraId="7BBF93C5">
      <w:pPr>
        <w:snapToGrid w:val="0"/>
        <w:spacing w:beforeLines="50" w:line="360" w:lineRule="auto"/>
        <w:jc w:val="center"/>
        <w:outlineLvl w:val="1"/>
        <w:rPr>
          <w:rFonts w:ascii="宋体" w:hAnsi="宋体"/>
          <w:color w:val="auto"/>
          <w:sz w:val="28"/>
          <w:szCs w:val="28"/>
          <w:highlight w:val="none"/>
        </w:rPr>
      </w:pPr>
      <w:r>
        <w:rPr>
          <w:rFonts w:hint="eastAsia" w:ascii="宋体" w:hAnsi="宋体"/>
          <w:color w:val="auto"/>
          <w:sz w:val="28"/>
          <w:szCs w:val="28"/>
          <w:highlight w:val="none"/>
          <w:lang w:eastAsia="zh-CN"/>
        </w:rPr>
        <w:t>供应商</w:t>
      </w:r>
      <w:r>
        <w:rPr>
          <w:rFonts w:hint="eastAsia" w:ascii="宋体" w:hAnsi="宋体"/>
          <w:color w:val="auto"/>
          <w:sz w:val="28"/>
          <w:szCs w:val="28"/>
          <w:highlight w:val="none"/>
        </w:rPr>
        <w:t>须知前附表</w:t>
      </w:r>
    </w:p>
    <w:tbl>
      <w:tblPr>
        <w:tblStyle w:val="32"/>
        <w:tblW w:w="9840" w:type="dxa"/>
        <w:jc w:val="center"/>
        <w:tblLayout w:type="fixed"/>
        <w:tblCellMar>
          <w:top w:w="0" w:type="dxa"/>
          <w:left w:w="0" w:type="dxa"/>
          <w:bottom w:w="0" w:type="dxa"/>
          <w:right w:w="0" w:type="dxa"/>
        </w:tblCellMar>
      </w:tblPr>
      <w:tblGrid>
        <w:gridCol w:w="926"/>
        <w:gridCol w:w="8914"/>
      </w:tblGrid>
      <w:tr w14:paraId="23E50404">
        <w:tblPrEx>
          <w:tblCellMar>
            <w:top w:w="0" w:type="dxa"/>
            <w:left w:w="0" w:type="dxa"/>
            <w:bottom w:w="0" w:type="dxa"/>
            <w:right w:w="0" w:type="dxa"/>
          </w:tblCellMar>
        </w:tblPrEx>
        <w:trPr>
          <w:trHeight w:val="450" w:hRule="atLeast"/>
          <w:jc w:val="center"/>
        </w:trPr>
        <w:tc>
          <w:tcPr>
            <w:tcW w:w="92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8912310">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w:t>
            </w:r>
          </w:p>
        </w:tc>
        <w:tc>
          <w:tcPr>
            <w:tcW w:w="8914"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439614F">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内容、要求</w:t>
            </w:r>
          </w:p>
        </w:tc>
      </w:tr>
      <w:tr w14:paraId="281C5EDF">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441A07E">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3C76C54C">
            <w:pPr>
              <w:widowControl/>
              <w:snapToGrid w:val="0"/>
              <w:spacing w:line="440" w:lineRule="exact"/>
              <w:jc w:val="left"/>
              <w:outlineLvl w:val="0"/>
              <w:rPr>
                <w:rFonts w:hint="eastAsia" w:ascii="宋体" w:hAnsi="宋体" w:eastAsia="宋体" w:cs="宋体"/>
              </w:rPr>
            </w:pPr>
            <w:bookmarkStart w:id="36" w:name="_Toc30169"/>
            <w:r>
              <w:rPr>
                <w:rFonts w:hint="eastAsia"/>
                <w:color w:val="auto"/>
                <w:highlight w:val="none"/>
              </w:rPr>
              <w:t>1.1 项目名称：</w:t>
            </w:r>
            <w:r>
              <w:rPr>
                <w:rFonts w:hint="eastAsia" w:ascii="宋体" w:hAnsi="宋体" w:cs="宋体"/>
                <w:color w:val="auto"/>
                <w:szCs w:val="21"/>
                <w:highlight w:val="none"/>
                <w:shd w:val="clear" w:color="auto" w:fill="FFFFFF"/>
                <w:lang w:val="en-US" w:eastAsia="zh-CN"/>
              </w:rPr>
              <w:t>驻马店市中心医院</w:t>
            </w:r>
            <w:bookmarkEnd w:id="36"/>
            <w:r>
              <w:rPr>
                <w:rFonts w:hint="eastAsia" w:ascii="宋体" w:hAnsi="宋体" w:cs="宋体"/>
                <w:color w:val="auto"/>
                <w:szCs w:val="21"/>
                <w:highlight w:val="none"/>
                <w:shd w:val="clear" w:color="auto" w:fill="FFFFFF"/>
                <w:lang w:val="en-US" w:eastAsia="zh-CN"/>
              </w:rPr>
              <w:t>妇儿院区新生儿科等科室UPS电源更换电池组项目</w:t>
            </w:r>
          </w:p>
          <w:p w14:paraId="2F88D661">
            <w:pPr>
              <w:widowControl/>
              <w:snapToGrid w:val="0"/>
              <w:spacing w:line="440" w:lineRule="exact"/>
              <w:jc w:val="left"/>
              <w:outlineLvl w:val="0"/>
              <w:rPr>
                <w:rFonts w:hint="eastAsia"/>
                <w:color w:val="auto"/>
                <w:highlight w:val="none"/>
              </w:rPr>
            </w:pPr>
            <w:bookmarkStart w:id="37" w:name="_Toc23424"/>
            <w:r>
              <w:rPr>
                <w:rFonts w:hint="eastAsia"/>
                <w:color w:val="auto"/>
                <w:highlight w:val="none"/>
              </w:rPr>
              <w:t>1.2 采购人名称：驻马店市中心医院</w:t>
            </w:r>
            <w:bookmarkEnd w:id="37"/>
          </w:p>
          <w:p w14:paraId="66F7FCF2">
            <w:pPr>
              <w:widowControl/>
              <w:snapToGrid w:val="0"/>
              <w:spacing w:line="440" w:lineRule="exact"/>
              <w:jc w:val="left"/>
              <w:outlineLvl w:val="0"/>
              <w:rPr>
                <w:rFonts w:ascii="Times New Roman" w:hAnsi="Times New Roman" w:eastAsia="宋体" w:cs="Times New Roman"/>
                <w:color w:val="auto"/>
                <w:kern w:val="2"/>
                <w:sz w:val="21"/>
                <w:szCs w:val="24"/>
                <w:highlight w:val="none"/>
                <w:lang w:val="en-US" w:eastAsia="zh-CN" w:bidi="ar-SA"/>
              </w:rPr>
            </w:pPr>
            <w:bookmarkStart w:id="38" w:name="_Toc3148"/>
            <w:r>
              <w:rPr>
                <w:rFonts w:hint="eastAsia"/>
                <w:color w:val="auto"/>
                <w:highlight w:val="none"/>
              </w:rPr>
              <w:t>1.</w:t>
            </w:r>
            <w:r>
              <w:rPr>
                <w:rFonts w:hint="eastAsia"/>
                <w:color w:val="auto"/>
                <w:highlight w:val="none"/>
                <w:lang w:val="en-US" w:eastAsia="zh-CN"/>
              </w:rPr>
              <w:t>3</w:t>
            </w:r>
            <w:r>
              <w:rPr>
                <w:rFonts w:hint="eastAsia"/>
                <w:color w:val="auto"/>
                <w:highlight w:val="none"/>
              </w:rPr>
              <w:t>采购范围：详</w:t>
            </w:r>
            <w:r>
              <w:rPr>
                <w:rFonts w:hint="eastAsia"/>
                <w:color w:val="auto"/>
                <w:highlight w:val="none"/>
                <w:lang w:val="en-US" w:eastAsia="zh-CN"/>
              </w:rPr>
              <w:t>见第二章采购</w:t>
            </w:r>
            <w:r>
              <w:rPr>
                <w:rFonts w:hint="eastAsia"/>
                <w:color w:val="auto"/>
                <w:highlight w:val="none"/>
              </w:rPr>
              <w:t>需求</w:t>
            </w:r>
            <w:bookmarkEnd w:id="38"/>
          </w:p>
        </w:tc>
      </w:tr>
      <w:tr w14:paraId="40C5CD13">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5477A572">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ECE779C">
            <w:pPr>
              <w:widowControl/>
              <w:spacing w:line="440" w:lineRule="exact"/>
              <w:rPr>
                <w:rFonts w:ascii="宋体" w:hAnsi="宋体" w:cs="宋体"/>
                <w:color w:val="auto"/>
                <w:kern w:val="0"/>
                <w:szCs w:val="21"/>
                <w:highlight w:val="none"/>
              </w:rPr>
            </w:pPr>
            <w:r>
              <w:rPr>
                <w:rFonts w:hint="eastAsia" w:ascii="宋体" w:hAnsi="宋体" w:cs="宋体"/>
                <w:color w:val="auto"/>
                <w:kern w:val="0"/>
                <w:szCs w:val="21"/>
                <w:highlight w:val="none"/>
              </w:rPr>
              <w:t>合格</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公告第二项规定的条件。</w:t>
            </w:r>
          </w:p>
        </w:tc>
      </w:tr>
      <w:tr w14:paraId="50BD4928">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4638583">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5A0F20E">
            <w:pPr>
              <w:widowControl/>
              <w:snapToGrid w:val="0"/>
              <w:spacing w:line="440" w:lineRule="exact"/>
              <w:jc w:val="left"/>
              <w:rPr>
                <w:rFonts w:hint="eastAsia" w:ascii="宋体" w:hAnsi="宋体" w:cs="宋体"/>
                <w:color w:val="auto"/>
                <w:kern w:val="0"/>
                <w:szCs w:val="21"/>
                <w:highlight w:val="none"/>
                <w:lang w:eastAsia="zh-CN"/>
              </w:rPr>
            </w:pPr>
            <w:r>
              <w:rPr>
                <w:rFonts w:hint="eastAsia" w:ascii="宋体" w:hAnsi="宋体" w:cs="宋体"/>
                <w:color w:val="auto"/>
                <w:kern w:val="0"/>
                <w:szCs w:val="21"/>
                <w:highlight w:val="none"/>
              </w:rPr>
              <w:t>采购预算：采购预算：17.38万元；最高投标限价:17.38万元</w:t>
            </w:r>
            <w:r>
              <w:rPr>
                <w:rFonts w:hint="eastAsia" w:ascii="宋体" w:hAnsi="宋体" w:cs="宋体"/>
                <w:color w:val="auto"/>
                <w:kern w:val="0"/>
                <w:szCs w:val="21"/>
                <w:highlight w:val="none"/>
                <w:lang w:eastAsia="zh-CN"/>
              </w:rPr>
              <w:t>；</w:t>
            </w:r>
          </w:p>
          <w:p w14:paraId="5C76F3CA">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3.1 本项目投标以人民币报价。</w:t>
            </w:r>
          </w:p>
          <w:p w14:paraId="4C332020">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3.2 供应商的报价超过采购预算，采购人不能支付的，按废标处理。</w:t>
            </w:r>
          </w:p>
          <w:p w14:paraId="491E3007">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3.3 本项目</w:t>
            </w:r>
            <w:r>
              <w:rPr>
                <w:rFonts w:hint="eastAsia" w:ascii="宋体" w:hAnsi="宋体" w:cs="宋体"/>
                <w:color w:val="auto"/>
                <w:kern w:val="0"/>
                <w:szCs w:val="21"/>
                <w:highlight w:val="none"/>
                <w:lang w:val="en-US" w:eastAsia="zh-CN"/>
              </w:rPr>
              <w:t>由成交供应商缴纳</w:t>
            </w:r>
            <w:r>
              <w:rPr>
                <w:rFonts w:hint="eastAsia" w:ascii="宋体" w:hAnsi="宋体" w:cs="宋体"/>
                <w:color w:val="auto"/>
                <w:kern w:val="0"/>
                <w:szCs w:val="21"/>
                <w:highlight w:val="none"/>
              </w:rPr>
              <w:t>招标代理服务费。</w:t>
            </w:r>
          </w:p>
        </w:tc>
      </w:tr>
      <w:tr w14:paraId="33AD1F81">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5F5B7835">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04F4C45C">
            <w:pPr>
              <w:widowControl/>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现场踏勘或标前答疑：本项目不组织现场踏勘或标前答疑会。</w:t>
            </w:r>
          </w:p>
        </w:tc>
      </w:tr>
      <w:tr w14:paraId="7018E819">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77E9D4F2">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0C92ACA5">
            <w:pPr>
              <w:widowControl/>
              <w:snapToGrid w:val="0"/>
              <w:spacing w:line="440" w:lineRule="exact"/>
              <w:jc w:val="left"/>
            </w:pPr>
            <w:r>
              <w:rPr>
                <w:rFonts w:hint="eastAsia"/>
              </w:rPr>
              <w:t>投标文件组成</w:t>
            </w:r>
            <w:r>
              <w:rPr>
                <w:rFonts w:hint="eastAsia" w:ascii="宋体" w:hAnsi="宋体" w:eastAsia="宋体" w:cs="宋体"/>
              </w:rPr>
              <w:t>：纸质投标文件正本1份</w:t>
            </w:r>
            <w:r>
              <w:rPr>
                <w:rFonts w:hint="eastAsia" w:ascii="宋体" w:hAnsi="宋体" w:eastAsia="宋体" w:cs="宋体"/>
                <w:lang w:eastAsia="zh-CN"/>
              </w:rPr>
              <w:t>、</w:t>
            </w:r>
            <w:r>
              <w:rPr>
                <w:rFonts w:hint="eastAsia" w:ascii="宋体" w:hAnsi="宋体" w:eastAsia="宋体" w:cs="宋体"/>
                <w:lang w:val="en-US" w:eastAsia="zh-CN"/>
              </w:rPr>
              <w:t>副本2份</w:t>
            </w:r>
            <w:r>
              <w:rPr>
                <w:rFonts w:hint="eastAsia" w:ascii="宋体" w:hAnsi="宋体" w:eastAsia="宋体" w:cs="宋体"/>
              </w:rPr>
              <w:t>。</w:t>
            </w:r>
          </w:p>
        </w:tc>
      </w:tr>
      <w:tr w14:paraId="32A22448">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7C5017B9">
            <w:pPr>
              <w:widowControl/>
              <w:snapToGrid w:val="0"/>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8958B2D">
            <w:pPr>
              <w:widowControl/>
              <w:snapToGrid w:val="0"/>
              <w:spacing w:line="44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投标截止时间</w:t>
            </w:r>
            <w:r>
              <w:rPr>
                <w:rFonts w:hint="eastAsia" w:ascii="宋体" w:hAnsi="宋体" w:cs="宋体"/>
                <w:color w:val="auto"/>
                <w:kern w:val="0"/>
                <w:szCs w:val="21"/>
                <w:highlight w:val="none"/>
                <w:lang w:val="en-US" w:eastAsia="zh-CN"/>
              </w:rPr>
              <w:t>及开标时间</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p>
          <w:p w14:paraId="31077F0B">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投标文件递交地点</w:t>
            </w:r>
            <w:r>
              <w:rPr>
                <w:rFonts w:hint="eastAsia" w:ascii="宋体" w:hAnsi="宋体" w:cs="宋体"/>
                <w:color w:val="auto"/>
                <w:kern w:val="0"/>
                <w:szCs w:val="21"/>
                <w:highlight w:val="none"/>
                <w:lang w:val="en-US" w:eastAsia="zh-CN"/>
              </w:rPr>
              <w:t>及开标地点</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r>
              <w:rPr>
                <w:rFonts w:hint="eastAsia" w:ascii="宋体" w:hAnsi="宋体" w:cs="宋体"/>
                <w:color w:val="auto"/>
                <w:kern w:val="0"/>
                <w:szCs w:val="21"/>
                <w:highlight w:val="none"/>
              </w:rPr>
              <w:t>。</w:t>
            </w:r>
          </w:p>
        </w:tc>
      </w:tr>
      <w:tr w14:paraId="474C8031">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7CBBCDC9">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35365135">
            <w:pPr>
              <w:spacing w:line="440" w:lineRule="exact"/>
              <w:rPr>
                <w:rFonts w:ascii="宋体" w:hAnsi="宋体" w:cs="宋体"/>
                <w:color w:val="auto"/>
                <w:szCs w:val="21"/>
                <w:highlight w:val="none"/>
              </w:rPr>
            </w:pP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w:t>
            </w:r>
            <w:r>
              <w:rPr>
                <w:rFonts w:hint="eastAsia" w:ascii="宋体" w:hAnsi="宋体" w:cs="宋体"/>
                <w:color w:val="auto"/>
                <w:kern w:val="0"/>
                <w:szCs w:val="21"/>
                <w:highlight w:val="none"/>
              </w:rPr>
              <w:t>员：</w:t>
            </w:r>
            <w:r>
              <w:rPr>
                <w:rFonts w:hint="eastAsia" w:ascii="宋体" w:hAnsi="宋体" w:cs="宋体"/>
                <w:color w:val="auto"/>
                <w:szCs w:val="21"/>
                <w:highlight w:val="none"/>
                <w:lang w:val="en-US" w:eastAsia="zh-CN"/>
              </w:rPr>
              <w:t>3</w:t>
            </w:r>
            <w:r>
              <w:rPr>
                <w:rFonts w:hint="eastAsia" w:ascii="宋体" w:hAnsi="宋体" w:cs="宋体"/>
                <w:color w:val="auto"/>
                <w:highlight w:val="none"/>
              </w:rPr>
              <w:t>人</w:t>
            </w:r>
            <w:r>
              <w:rPr>
                <w:rFonts w:hint="eastAsia" w:ascii="宋体" w:hAnsi="宋体" w:cs="宋体"/>
                <w:color w:val="auto"/>
                <w:highlight w:val="none"/>
                <w:lang w:val="en-US" w:eastAsia="zh-CN"/>
              </w:rPr>
              <w:t>及以上单数</w:t>
            </w:r>
            <w:r>
              <w:rPr>
                <w:rFonts w:hint="eastAsia" w:ascii="宋体" w:hAnsi="宋体" w:cs="宋体"/>
                <w:color w:val="auto"/>
                <w:kern w:val="0"/>
                <w:szCs w:val="21"/>
                <w:highlight w:val="none"/>
              </w:rPr>
              <w:t>。</w:t>
            </w:r>
          </w:p>
          <w:p w14:paraId="05B89799">
            <w:pPr>
              <w:widowControl/>
              <w:spacing w:line="440" w:lineRule="exact"/>
              <w:jc w:val="left"/>
              <w:rPr>
                <w:rFonts w:ascii="宋体" w:hAnsi="宋体" w:cs="宋体"/>
                <w:color w:val="auto"/>
                <w:kern w:val="0"/>
                <w:szCs w:val="21"/>
                <w:highlight w:val="none"/>
              </w:rPr>
            </w:pPr>
            <w:r>
              <w:rPr>
                <w:rFonts w:hint="eastAsia" w:ascii="宋体" w:hAnsi="宋体" w:cs="宋体"/>
                <w:color w:val="auto"/>
                <w:szCs w:val="21"/>
                <w:highlight w:val="none"/>
              </w:rPr>
              <w:t>专家确定方式：</w:t>
            </w:r>
            <w:r>
              <w:rPr>
                <w:rFonts w:hint="eastAsia" w:ascii="宋体" w:hAnsi="宋体" w:cs="宋体"/>
                <w:color w:val="auto"/>
                <w:kern w:val="0"/>
                <w:szCs w:val="21"/>
                <w:highlight w:val="none"/>
              </w:rPr>
              <w:t>由采购人</w:t>
            </w:r>
            <w:r>
              <w:rPr>
                <w:rFonts w:hint="eastAsia" w:ascii="宋体" w:hAnsi="宋体" w:cs="宋体"/>
                <w:color w:val="auto"/>
                <w:kern w:val="0"/>
                <w:szCs w:val="21"/>
                <w:highlight w:val="none"/>
                <w:lang w:val="en-US" w:eastAsia="zh-CN"/>
              </w:rPr>
              <w:t>抽取相关的技术人员组成</w:t>
            </w:r>
            <w:r>
              <w:rPr>
                <w:rFonts w:hint="eastAsia" w:ascii="宋体" w:hAnsi="宋体" w:cs="宋体"/>
                <w:color w:val="auto"/>
                <w:kern w:val="0"/>
                <w:szCs w:val="21"/>
                <w:highlight w:val="none"/>
              </w:rPr>
              <w:t>。</w:t>
            </w:r>
          </w:p>
        </w:tc>
      </w:tr>
      <w:tr w14:paraId="674095B7">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ACC260B">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 xml:space="preserve">8 </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2CBBB99">
            <w:pPr>
              <w:spacing w:line="240" w:lineRule="auto"/>
              <w:rPr>
                <w:rFonts w:ascii="宋体" w:hAnsi="宋体" w:cs="宋体"/>
                <w:color w:val="auto"/>
                <w:kern w:val="0"/>
                <w:szCs w:val="21"/>
                <w:highlight w:val="none"/>
              </w:rPr>
            </w:pPr>
            <w:r>
              <w:rPr>
                <w:rFonts w:hint="eastAsia" w:ascii="宋体" w:hAnsi="宋体" w:cs="宋体"/>
                <w:color w:val="auto"/>
                <w:szCs w:val="21"/>
                <w:highlight w:val="none"/>
              </w:rPr>
              <w:t>评标办法：</w:t>
            </w:r>
            <w:r>
              <w:rPr>
                <w:rFonts w:hint="eastAsia" w:ascii="宋体" w:hAnsi="宋体" w:cs="宋体"/>
                <w:color w:val="auto"/>
                <w:kern w:val="0"/>
                <w:szCs w:val="21"/>
                <w:highlight w:val="none"/>
              </w:rPr>
              <w:t>本项目采用</w:t>
            </w:r>
            <w:r>
              <w:rPr>
                <w:rFonts w:hint="eastAsia" w:ascii="宋体" w:hAnsi="宋体" w:cs="宋体"/>
                <w:color w:val="auto"/>
                <w:szCs w:val="21"/>
                <w:highlight w:val="none"/>
              </w:rPr>
              <w:t>综合评分法</w:t>
            </w:r>
            <w:r>
              <w:rPr>
                <w:rFonts w:hint="eastAsia" w:ascii="宋体" w:hAnsi="宋体" w:cs="宋体"/>
                <w:color w:val="auto"/>
                <w:kern w:val="0"/>
                <w:szCs w:val="21"/>
                <w:highlight w:val="none"/>
              </w:rPr>
              <w:t>。</w:t>
            </w:r>
          </w:p>
        </w:tc>
      </w:tr>
      <w:tr w14:paraId="6E19F1BF">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63DBB821">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9</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F0E90C4">
            <w:pPr>
              <w:widowControl/>
              <w:spacing w:line="440" w:lineRule="exact"/>
              <w:jc w:val="left"/>
              <w:textAlignment w:val="bottom"/>
              <w:rPr>
                <w:rFonts w:ascii="宋体" w:hAnsi="宋体" w:cs="宋体"/>
                <w:color w:val="auto"/>
                <w:kern w:val="0"/>
                <w:szCs w:val="21"/>
                <w:highlight w:val="none"/>
              </w:rPr>
            </w:pPr>
            <w:r>
              <w:rPr>
                <w:rFonts w:hint="eastAsia" w:ascii="宋体" w:hAnsi="宋体" w:cs="宋体"/>
                <w:kern w:val="0"/>
                <w:szCs w:val="21"/>
                <w:lang w:eastAsia="zh-CN"/>
              </w:rPr>
              <w:t>成交</w:t>
            </w:r>
            <w:r>
              <w:rPr>
                <w:rFonts w:hint="eastAsia" w:ascii="宋体" w:hAnsi="宋体" w:eastAsia="宋体" w:cs="宋体"/>
                <w:kern w:val="0"/>
                <w:szCs w:val="21"/>
              </w:rPr>
              <w:t>公告及</w:t>
            </w:r>
            <w:r>
              <w:rPr>
                <w:rFonts w:hint="eastAsia" w:ascii="宋体" w:hAnsi="宋体" w:cs="宋体"/>
                <w:kern w:val="0"/>
                <w:szCs w:val="21"/>
                <w:lang w:eastAsia="zh-CN"/>
              </w:rPr>
              <w:t>成交</w:t>
            </w:r>
            <w:r>
              <w:rPr>
                <w:rFonts w:hint="eastAsia" w:ascii="宋体" w:hAnsi="宋体" w:eastAsia="宋体" w:cs="宋体"/>
                <w:kern w:val="0"/>
                <w:szCs w:val="21"/>
              </w:rPr>
              <w:t>通知书：由采购人授权磋商小组确定一名成交人并推荐一名成交候选人。评审结束后在《驻马店市中心医院》官网上发布成交公告，公示期结束后向成交人发出成交通知书。</w:t>
            </w:r>
          </w:p>
        </w:tc>
      </w:tr>
      <w:tr w14:paraId="0BEF6327">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BDE70E6">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10</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73381F75">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签订合同：自</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发出之日起</w:t>
            </w:r>
            <w:r>
              <w:rPr>
                <w:rFonts w:hint="eastAsia" w:ascii="宋体" w:hAnsi="宋体" w:cs="宋体"/>
                <w:color w:val="auto"/>
                <w:kern w:val="0"/>
                <w:szCs w:val="21"/>
                <w:highlight w:val="none"/>
                <w:lang w:val="en-US" w:eastAsia="zh-CN"/>
              </w:rPr>
              <w:t>30日</w:t>
            </w:r>
            <w:r>
              <w:rPr>
                <w:rFonts w:hint="eastAsia" w:ascii="宋体" w:hAnsi="宋体" w:cs="宋体"/>
                <w:color w:val="auto"/>
                <w:kern w:val="0"/>
                <w:szCs w:val="21"/>
                <w:highlight w:val="none"/>
              </w:rPr>
              <w:t>内。</w:t>
            </w:r>
          </w:p>
        </w:tc>
      </w:tr>
      <w:tr w14:paraId="409C25C8">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7CFA3DAB">
            <w:pPr>
              <w:widowControl/>
              <w:spacing w:line="460" w:lineRule="atLeast"/>
              <w:jc w:val="center"/>
              <w:rPr>
                <w:rFonts w:ascii="宋体" w:hAnsi="宋体" w:cs="宋体"/>
                <w:color w:val="FF0000"/>
                <w:kern w:val="0"/>
                <w:szCs w:val="21"/>
                <w:highlight w:val="none"/>
              </w:rPr>
            </w:pPr>
            <w:r>
              <w:rPr>
                <w:rFonts w:hint="eastAsia" w:ascii="宋体" w:hAnsi="宋体" w:cs="宋体"/>
                <w:color w:val="auto"/>
                <w:kern w:val="0"/>
                <w:szCs w:val="21"/>
                <w:highlight w:val="none"/>
              </w:rPr>
              <w:t>11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661DD1D8">
            <w:pPr>
              <w:widowControl/>
              <w:spacing w:line="440" w:lineRule="exact"/>
              <w:jc w:val="left"/>
              <w:textAlignment w:val="bottom"/>
              <w:rPr>
                <w:rFonts w:ascii="宋体" w:hAnsi="宋体" w:cs="宋体"/>
                <w:color w:val="FF0000"/>
                <w:kern w:val="0"/>
                <w:szCs w:val="21"/>
                <w:highlight w:val="none"/>
              </w:rPr>
            </w:pPr>
            <w:r>
              <w:rPr>
                <w:rFonts w:hint="eastAsia" w:ascii="宋体" w:hAnsi="宋体" w:cs="宋体"/>
                <w:color w:val="auto"/>
                <w:kern w:val="0"/>
                <w:szCs w:val="21"/>
                <w:highlight w:val="none"/>
              </w:rPr>
              <w:t>采购资金来源：自筹资金。</w:t>
            </w:r>
          </w:p>
        </w:tc>
      </w:tr>
      <w:tr w14:paraId="4448FDCD">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086A90F6">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23C2685">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付款方式：详见第二章</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w:t>
            </w:r>
          </w:p>
        </w:tc>
      </w:tr>
      <w:tr w14:paraId="2F69A25B">
        <w:tblPrEx>
          <w:tblCellMar>
            <w:top w:w="0" w:type="dxa"/>
            <w:left w:w="0" w:type="dxa"/>
            <w:bottom w:w="0" w:type="dxa"/>
            <w:right w:w="0" w:type="dxa"/>
          </w:tblCellMar>
        </w:tblPrEx>
        <w:trPr>
          <w:trHeight w:val="9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72101889">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B60D33D">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投标文件有效期：投标</w:t>
            </w:r>
            <w:r>
              <w:rPr>
                <w:rFonts w:hint="eastAsia" w:ascii="宋体" w:hAnsi="宋体" w:cs="宋体"/>
                <w:color w:val="auto"/>
                <w:kern w:val="0"/>
                <w:szCs w:val="21"/>
                <w:highlight w:val="none"/>
                <w:lang w:val="en-US" w:eastAsia="zh-CN"/>
              </w:rPr>
              <w:t>文件递交</w:t>
            </w:r>
            <w:r>
              <w:rPr>
                <w:rFonts w:hint="eastAsia" w:ascii="宋体" w:hAnsi="宋体" w:cs="宋体"/>
                <w:color w:val="auto"/>
                <w:kern w:val="0"/>
                <w:szCs w:val="21"/>
                <w:highlight w:val="none"/>
              </w:rPr>
              <w:t>截止期结束后</w:t>
            </w:r>
            <w:r>
              <w:rPr>
                <w:rFonts w:hint="eastAsia" w:ascii="宋体" w:hAnsi="宋体" w:cs="宋体"/>
                <w:color w:val="auto"/>
                <w:kern w:val="0"/>
                <w:szCs w:val="21"/>
                <w:highlight w:val="none"/>
                <w:lang w:val="en-US" w:eastAsia="zh-CN"/>
              </w:rPr>
              <w:t>90</w:t>
            </w:r>
            <w:r>
              <w:rPr>
                <w:rFonts w:hint="eastAsia" w:ascii="宋体" w:hAnsi="宋体" w:cs="宋体"/>
                <w:color w:val="auto"/>
                <w:kern w:val="0"/>
                <w:szCs w:val="21"/>
                <w:highlight w:val="none"/>
              </w:rPr>
              <w:t>日。</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的投标文件是合同的组成部分,有效期至合同完全履行止。 </w:t>
            </w:r>
          </w:p>
        </w:tc>
      </w:tr>
      <w:tr w14:paraId="090B309E">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5A05B0E2">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3A610D4B">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rPr>
              <w:t>供应商须提供信用中国网站、中国政府采购网网站查询的网页截图。</w:t>
            </w:r>
          </w:p>
        </w:tc>
      </w:tr>
      <w:tr w14:paraId="1B61DF47">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3A3883D">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F13C0ED">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lang w:val="en-US" w:eastAsia="zh-CN"/>
              </w:rPr>
              <w:t>商品包装和快递包装应符合《商品包装政府采购需求标准（试行）》和《快递包装政府采购需求标准（试行）》规定，商品的包装和快递包装验收标准应符合《商品包装政府采购需求标准（试行）》和《快递包装政府采购需求标准（试行）》规定，并提供相关的检测报告</w:t>
            </w:r>
            <w:r>
              <w:rPr>
                <w:rFonts w:hint="eastAsia" w:ascii="宋体" w:hAnsi="宋体" w:cs="宋体"/>
                <w:color w:val="auto"/>
                <w:szCs w:val="21"/>
                <w:highlight w:val="none"/>
              </w:rPr>
              <w:t>。</w:t>
            </w:r>
          </w:p>
        </w:tc>
      </w:tr>
      <w:tr w14:paraId="294E3BF8">
        <w:tblPrEx>
          <w:tblCellMar>
            <w:top w:w="0" w:type="dxa"/>
            <w:left w:w="0" w:type="dxa"/>
            <w:bottom w:w="0" w:type="dxa"/>
            <w:right w:w="0" w:type="dxa"/>
          </w:tblCellMar>
        </w:tblPrEx>
        <w:trPr>
          <w:trHeight w:val="699"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6198C12E">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35FCFCD">
            <w:pPr>
              <w:spacing w:line="360" w:lineRule="auto"/>
              <w:rPr>
                <w:rFonts w:ascii="宋体" w:hAnsi="宋体" w:cs="宋体"/>
                <w:color w:val="auto"/>
                <w:kern w:val="0"/>
                <w:szCs w:val="21"/>
                <w:highlight w:val="none"/>
              </w:rPr>
            </w:pPr>
            <w:r>
              <w:rPr>
                <w:rFonts w:hint="eastAsia" w:ascii="宋体" w:hAnsi="宋体" w:cs="宋体"/>
                <w:bCs/>
                <w:color w:val="auto"/>
                <w:kern w:val="0"/>
                <w:szCs w:val="21"/>
                <w:highlight w:val="none"/>
              </w:rPr>
              <w:t>质疑和投诉：供应商认为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bCs/>
                <w:color w:val="auto"/>
                <w:kern w:val="0"/>
                <w:szCs w:val="21"/>
                <w:highlight w:val="none"/>
                <w:lang w:eastAsia="zh-CN"/>
              </w:rPr>
              <w:t>。</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kern w:val="0"/>
                <w:szCs w:val="21"/>
                <w:lang w:val="en-US" w:eastAsia="zh-CN"/>
              </w:rPr>
              <w:t>医院纪检</w:t>
            </w:r>
            <w:r>
              <w:rPr>
                <w:rFonts w:hint="eastAsia" w:ascii="宋体" w:hAnsi="宋体" w:cs="宋体"/>
                <w:color w:val="auto"/>
                <w:kern w:val="0"/>
                <w:szCs w:val="21"/>
                <w:highlight w:val="none"/>
              </w:rPr>
              <w:t>部门投诉。</w:t>
            </w:r>
          </w:p>
        </w:tc>
      </w:tr>
      <w:tr w14:paraId="6CA382FC">
        <w:tblPrEx>
          <w:tblCellMar>
            <w:top w:w="0" w:type="dxa"/>
            <w:left w:w="0" w:type="dxa"/>
            <w:bottom w:w="0" w:type="dxa"/>
            <w:right w:w="0" w:type="dxa"/>
          </w:tblCellMar>
        </w:tblPrEx>
        <w:trPr>
          <w:trHeight w:val="851"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0DE089DE">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3CD718B0">
            <w:pPr>
              <w:widowControl/>
              <w:spacing w:line="360" w:lineRule="auto"/>
              <w:jc w:val="left"/>
              <w:textAlignment w:val="bottom"/>
              <w:rPr>
                <w:color w:val="auto"/>
                <w:highlight w:val="none"/>
              </w:rPr>
            </w:pPr>
            <w:r>
              <w:rPr>
                <w:rFonts w:hint="eastAsia"/>
                <w:color w:val="auto"/>
                <w:highlight w:val="none"/>
              </w:rPr>
              <w:t>解释：1、构成本</w:t>
            </w:r>
            <w:r>
              <w:rPr>
                <w:rFonts w:hint="eastAsia"/>
                <w:color w:val="auto"/>
                <w:highlight w:val="none"/>
                <w:lang w:val="en-US" w:eastAsia="zh-CN"/>
              </w:rPr>
              <w:t>采购</w:t>
            </w:r>
            <w:r>
              <w:rPr>
                <w:rFonts w:hint="eastAsia"/>
                <w:color w:val="auto"/>
                <w:highlight w:val="none"/>
              </w:rPr>
              <w:t>文件的各个组成文件应互为解释，互为说明；如有不明确或不一致，构成合同文件组成内容的，以合同文件约定内容为准；除</w:t>
            </w:r>
            <w:r>
              <w:rPr>
                <w:rFonts w:hint="eastAsia"/>
                <w:color w:val="auto"/>
                <w:highlight w:val="none"/>
                <w:lang w:val="en-US" w:eastAsia="zh-CN"/>
              </w:rPr>
              <w:t>采购</w:t>
            </w:r>
            <w:r>
              <w:rPr>
                <w:rFonts w:hint="eastAsia"/>
                <w:color w:val="auto"/>
                <w:highlight w:val="none"/>
              </w:rPr>
              <w:t>文件中有特殊规定外，仅适用于招标投标阶段的规定，按</w:t>
            </w:r>
            <w:r>
              <w:rPr>
                <w:rFonts w:hint="eastAsia"/>
                <w:color w:val="auto"/>
                <w:highlight w:val="none"/>
                <w:lang w:val="en-US" w:eastAsia="zh-CN"/>
              </w:rPr>
              <w:t>采购</w:t>
            </w:r>
            <w:r>
              <w:rPr>
                <w:rFonts w:hint="eastAsia"/>
                <w:color w:val="auto"/>
                <w:highlight w:val="none"/>
              </w:rPr>
              <w:t>公告、供应商须知、评标办法、投标文件格式的先后顺序解释；同一组成文件中就同一事项的规定或约定不一致的，以编排顺序在后者为准；当</w:t>
            </w:r>
            <w:r>
              <w:rPr>
                <w:rFonts w:hint="eastAsia"/>
                <w:color w:val="auto"/>
                <w:highlight w:val="none"/>
                <w:lang w:val="en-US" w:eastAsia="zh-CN"/>
              </w:rPr>
              <w:t>采购</w:t>
            </w:r>
            <w:r>
              <w:rPr>
                <w:rFonts w:hint="eastAsia"/>
                <w:color w:val="auto"/>
                <w:highlight w:val="none"/>
              </w:rPr>
              <w:t>文件与</w:t>
            </w:r>
            <w:r>
              <w:rPr>
                <w:rFonts w:hint="eastAsia"/>
                <w:color w:val="auto"/>
                <w:highlight w:val="none"/>
                <w:lang w:val="en-US" w:eastAsia="zh-CN"/>
              </w:rPr>
              <w:t>采购</w:t>
            </w:r>
            <w:r>
              <w:rPr>
                <w:rFonts w:hint="eastAsia"/>
                <w:color w:val="auto"/>
                <w:highlight w:val="none"/>
              </w:rPr>
              <w:t>文件的澄清、修改或补充通知就同一内容的表述不一致时，以最后发出的书面文件为准。合同文件约定或后者明显错误的除外。</w:t>
            </w:r>
          </w:p>
          <w:p w14:paraId="08561805">
            <w:pPr>
              <w:widowControl/>
              <w:spacing w:line="360" w:lineRule="auto"/>
              <w:jc w:val="left"/>
              <w:textAlignment w:val="bottom"/>
              <w:rPr>
                <w:rFonts w:ascii="宋体" w:hAnsi="宋体" w:cs="宋体"/>
                <w:color w:val="auto"/>
                <w:kern w:val="0"/>
                <w:szCs w:val="21"/>
                <w:highlight w:val="none"/>
              </w:rPr>
            </w:pPr>
            <w:r>
              <w:rPr>
                <w:rFonts w:hint="eastAsia"/>
                <w:color w:val="auto"/>
                <w:highlight w:val="none"/>
              </w:rPr>
              <w:t>2、本</w:t>
            </w:r>
            <w:r>
              <w:rPr>
                <w:rFonts w:hint="eastAsia"/>
                <w:color w:val="auto"/>
                <w:highlight w:val="none"/>
                <w:lang w:val="en-US" w:eastAsia="zh-CN"/>
              </w:rPr>
              <w:t>采购</w:t>
            </w:r>
            <w:r>
              <w:rPr>
                <w:rFonts w:hint="eastAsia"/>
                <w:color w:val="auto"/>
                <w:highlight w:val="none"/>
              </w:rPr>
              <w:t>文件解释权归采购人。</w:t>
            </w:r>
          </w:p>
        </w:tc>
      </w:tr>
    </w:tbl>
    <w:p w14:paraId="00E8035A">
      <w:pPr>
        <w:rPr>
          <w:color w:val="auto"/>
          <w:highlight w:val="none"/>
        </w:rPr>
      </w:pPr>
    </w:p>
    <w:p w14:paraId="58B63433">
      <w:pPr>
        <w:keepNext w:val="0"/>
        <w:keepLines w:val="0"/>
        <w:pageBreakBefore w:val="0"/>
        <w:widowControl/>
        <w:kinsoku/>
        <w:wordWrap/>
        <w:overflowPunct/>
        <w:topLinePunct w:val="0"/>
        <w:bidi w:val="0"/>
        <w:snapToGrid w:val="0"/>
        <w:spacing w:line="360" w:lineRule="auto"/>
        <w:ind w:firstLine="2760"/>
        <w:jc w:val="left"/>
        <w:outlineLvl w:val="1"/>
        <w:rPr>
          <w:rFonts w:ascii="宋体" w:hAnsi="宋体" w:cs="宋体"/>
          <w:color w:val="auto"/>
          <w:kern w:val="0"/>
          <w:sz w:val="24"/>
          <w:highlight w:val="none"/>
        </w:rPr>
      </w:pPr>
      <w:r>
        <w:rPr>
          <w:rFonts w:hint="eastAsia" w:ascii="黑体" w:hAnsi="宋体" w:eastAsia="黑体" w:cs="宋体"/>
          <w:b/>
          <w:bCs/>
          <w:color w:val="auto"/>
          <w:kern w:val="0"/>
          <w:sz w:val="28"/>
          <w:szCs w:val="28"/>
          <w:highlight w:val="none"/>
        </w:rPr>
        <w:t>一 、说 明</w:t>
      </w:r>
    </w:p>
    <w:p w14:paraId="2800AF64">
      <w:pPr>
        <w:keepNext w:val="0"/>
        <w:keepLines w:val="0"/>
        <w:pageBreakBefore w:val="0"/>
        <w:kinsoku/>
        <w:wordWrap/>
        <w:overflowPunct/>
        <w:topLinePunct w:val="0"/>
        <w:bidi w:val="0"/>
        <w:snapToGrid w:val="0"/>
        <w:spacing w:line="360" w:lineRule="auto"/>
        <w:rPr>
          <w:color w:val="auto"/>
          <w:highlight w:val="none"/>
        </w:rPr>
      </w:pPr>
    </w:p>
    <w:p w14:paraId="1F2DA742">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1.适用范围</w:t>
      </w:r>
    </w:p>
    <w:p w14:paraId="0937C9C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auto"/>
          <w:kern w:val="0"/>
          <w:szCs w:val="21"/>
          <w:highlight w:val="none"/>
        </w:rPr>
        <w:t>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文件仅适用于</w:t>
      </w:r>
      <w:r>
        <w:rPr>
          <w:rFonts w:hint="eastAsia" w:ascii="宋体" w:hAnsi="宋体" w:cs="宋体"/>
          <w:color w:val="auto"/>
          <w:kern w:val="0"/>
          <w:szCs w:val="21"/>
          <w:highlight w:val="none"/>
          <w:lang w:val="en-US" w:eastAsia="zh-CN"/>
        </w:rPr>
        <w:t>采购</w:t>
      </w:r>
      <w:r>
        <w:rPr>
          <w:rFonts w:hint="eastAsia" w:ascii="宋体" w:hAnsi="宋体" w:cs="宋体"/>
          <w:color w:val="000000" w:themeColor="text1"/>
          <w:kern w:val="0"/>
          <w:szCs w:val="21"/>
          <w:highlight w:val="none"/>
          <w14:textFill>
            <w14:solidFill>
              <w14:schemeClr w14:val="tx1"/>
            </w14:solidFill>
          </w14:textFill>
        </w:rPr>
        <w:t>公告中所叙述项目的货物采购。</w:t>
      </w:r>
    </w:p>
    <w:p w14:paraId="70D16428">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2.定义</w:t>
      </w:r>
    </w:p>
    <w:p w14:paraId="0135B8EC">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auto"/>
          <w:kern w:val="0"/>
          <w:szCs w:val="21"/>
          <w:highlight w:val="none"/>
        </w:rPr>
        <w:t>2.1 “采购人</w:t>
      </w:r>
      <w:r>
        <w:rPr>
          <w:rFonts w:hint="eastAsia" w:ascii="宋体" w:hAnsi="宋体" w:cs="宋体"/>
          <w:color w:val="000000" w:themeColor="text1"/>
          <w:kern w:val="0"/>
          <w:szCs w:val="21"/>
          <w:highlight w:val="none"/>
          <w14:textFill>
            <w14:solidFill>
              <w14:schemeClr w14:val="tx1"/>
            </w14:solidFill>
          </w14:textFill>
        </w:rPr>
        <w:t>”系指</w:t>
      </w:r>
      <w:r>
        <w:rPr>
          <w:rFonts w:hint="eastAsia" w:ascii="宋体" w:hAnsi="宋体" w:eastAsia="宋体" w:cs="宋体"/>
          <w:color w:val="000000" w:themeColor="text1"/>
          <w:kern w:val="0"/>
          <w:szCs w:val="21"/>
          <w14:textFill>
            <w14:solidFill>
              <w14:schemeClr w14:val="tx1"/>
            </w14:solidFill>
          </w14:textFill>
        </w:rPr>
        <w:t>各级国家机关、事业单位、团体组织</w:t>
      </w:r>
      <w:r>
        <w:rPr>
          <w:rFonts w:hint="eastAsia" w:ascii="宋体" w:hAnsi="宋体" w:cs="宋体"/>
          <w:color w:val="000000" w:themeColor="text1"/>
          <w:kern w:val="0"/>
          <w:szCs w:val="21"/>
          <w:highlight w:val="none"/>
          <w14:textFill>
            <w14:solidFill>
              <w14:schemeClr w14:val="tx1"/>
            </w14:solidFill>
          </w14:textFill>
        </w:rPr>
        <w:t>。</w:t>
      </w:r>
    </w:p>
    <w:p w14:paraId="1D9752E2">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2.2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”系指</w:t>
      </w:r>
      <w:r>
        <w:rPr>
          <w:rFonts w:hint="eastAsia" w:ascii="宋体" w:hAnsi="宋体" w:cs="宋体"/>
          <w:color w:val="000000" w:themeColor="text1"/>
          <w:kern w:val="0"/>
          <w:szCs w:val="21"/>
          <w:highlight w:val="none"/>
          <w:lang w:val="en-US" w:eastAsia="zh-CN"/>
          <w14:textFill>
            <w14:solidFill>
              <w14:schemeClr w14:val="tx1"/>
            </w14:solidFill>
          </w14:textFill>
        </w:rPr>
        <w:t>领取</w:t>
      </w:r>
      <w:r>
        <w:rPr>
          <w:rFonts w:hint="eastAsia" w:ascii="宋体" w:hAnsi="宋体" w:cs="宋体"/>
          <w:color w:val="000000" w:themeColor="text1"/>
          <w:kern w:val="0"/>
          <w:szCs w:val="21"/>
          <w:highlight w:val="none"/>
          <w14:textFill>
            <w14:solidFill>
              <w14:schemeClr w14:val="tx1"/>
            </w14:solidFill>
          </w14:textFill>
        </w:rPr>
        <w:t>了本</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文件，且已经提交本次投标文件的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w:t>
      </w:r>
    </w:p>
    <w:p w14:paraId="2AE6CB1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2.3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代表”系指代表</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参加本次</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活动的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的法定代表人或其委托代理人。</w:t>
      </w:r>
    </w:p>
    <w:p w14:paraId="383BF6AB">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000000" w:themeColor="text1"/>
          <w:kern w:val="0"/>
          <w:szCs w:val="21"/>
          <w:highlight w:val="none"/>
          <w:lang w:val="en-US" w:eastAsia="zh-CN"/>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2.4 “货物”系指投标人按采购文件规定向采购人提供的一切设备、机械、仪器仪表、备品备件、工具、手册及其它有关技术资料和材料。</w:t>
      </w:r>
    </w:p>
    <w:p w14:paraId="1A8A2287">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000000" w:themeColor="text1"/>
          <w:kern w:val="0"/>
          <w:szCs w:val="21"/>
          <w:highlight w:val="none"/>
          <w:lang w:val="en-US" w:eastAsia="zh-CN"/>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2.5 “相关服务”系指采购文件规定投标人须承担的与本次采购货物相关的安装、调试、技术协助、校准、培训以及其他类似的义务。</w:t>
      </w:r>
    </w:p>
    <w:p w14:paraId="565FF460">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3.采购预</w:t>
      </w:r>
      <w:r>
        <w:rPr>
          <w:rFonts w:hint="eastAsia" w:ascii="宋体" w:hAnsi="宋体" w:eastAsia="宋体" w:cs="宋体"/>
          <w:b/>
          <w:bCs/>
          <w:color w:val="auto"/>
          <w:kern w:val="0"/>
          <w:szCs w:val="21"/>
          <w:highlight w:val="none"/>
        </w:rPr>
        <w:t>算：</w:t>
      </w:r>
      <w:r>
        <w:rPr>
          <w:rFonts w:hint="eastAsia" w:ascii="宋体" w:hAnsi="宋体" w:eastAsia="宋体" w:cs="宋体"/>
          <w:b/>
          <w:bCs/>
          <w:color w:val="auto"/>
          <w:kern w:val="0"/>
          <w:szCs w:val="21"/>
          <w:highlight w:val="none"/>
          <w:lang w:val="en-US" w:eastAsia="zh-CN"/>
        </w:rPr>
        <w:t>17.38万元</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rPr>
        <w:t>最高投标限价</w:t>
      </w:r>
      <w:r>
        <w:rPr>
          <w:rFonts w:hint="eastAsia" w:ascii="宋体" w:hAnsi="宋体" w:eastAsia="宋体" w:cs="宋体"/>
          <w:b/>
          <w:bCs/>
          <w:color w:val="auto"/>
          <w:kern w:val="0"/>
          <w:szCs w:val="21"/>
          <w:highlight w:val="none"/>
          <w:lang w:val="en-US" w:eastAsia="zh-CN"/>
        </w:rPr>
        <w:t>:17.38万元</w:t>
      </w:r>
      <w:r>
        <w:rPr>
          <w:rFonts w:hint="eastAsia" w:ascii="宋体" w:hAnsi="宋体" w:eastAsia="宋体" w:cs="宋体"/>
          <w:b/>
          <w:bCs/>
          <w:color w:val="auto"/>
          <w:kern w:val="0"/>
          <w:szCs w:val="21"/>
          <w:highlight w:val="none"/>
          <w:lang w:eastAsia="zh-CN"/>
        </w:rPr>
        <w:t>；</w:t>
      </w:r>
    </w:p>
    <w:p w14:paraId="13BDBB83">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szCs w:val="21"/>
          <w:highlight w:val="none"/>
        </w:rPr>
      </w:pPr>
      <w:r>
        <w:rPr>
          <w:rFonts w:hint="eastAsia" w:ascii="宋体" w:hAnsi="宋体" w:cs="宋体"/>
          <w:b/>
          <w:bCs/>
          <w:color w:val="auto"/>
          <w:kern w:val="0"/>
          <w:szCs w:val="21"/>
          <w:highlight w:val="none"/>
        </w:rPr>
        <w:t>4.</w:t>
      </w:r>
      <w:r>
        <w:rPr>
          <w:rFonts w:hint="eastAsia" w:ascii="宋体" w:hAnsi="宋体" w:cs="宋体"/>
          <w:b/>
          <w:bCs/>
          <w:color w:val="auto"/>
          <w:kern w:val="0"/>
          <w:szCs w:val="21"/>
          <w:highlight w:val="none"/>
          <w:lang w:eastAsia="zh-CN"/>
        </w:rPr>
        <w:t>供应商</w:t>
      </w:r>
      <w:r>
        <w:rPr>
          <w:rFonts w:hint="eastAsia" w:ascii="宋体" w:hAnsi="宋体" w:cs="宋体"/>
          <w:b/>
          <w:bCs/>
          <w:color w:val="auto"/>
          <w:kern w:val="0"/>
          <w:szCs w:val="21"/>
          <w:highlight w:val="none"/>
        </w:rPr>
        <w:t>应提交的证明文件</w:t>
      </w:r>
    </w:p>
    <w:p w14:paraId="47F49137">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4.1供应商应为注册在中华人民共和国境内的，且具有独立承担民事责任能力，提供法人或者其他组织的营业执照等证明文件。</w:t>
      </w:r>
    </w:p>
    <w:p w14:paraId="021B9E42">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4.2供应商应提供2022年度或2023年度经审计的财务报告或者其基本开户银行出具的资信证明；采购活动近六个月任意一个月的依法缴纳税收的凭据和缴纳社会保险的凭据；依法免税或不需要缴纳社会保障资金的供应商，应提供相应文件证明其依法免税或不需要缴纳社会保障资金。（新成立企业从成立之日起计算）；</w:t>
      </w:r>
    </w:p>
    <w:p w14:paraId="06643FB9">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4.3具有履行合同所必需的设备和专业技术能力（提供书面声明函）；</w:t>
      </w:r>
    </w:p>
    <w:p w14:paraId="6722EACE">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4.4参加本采购活动前三年内，在经营活动中没有重大违法记录（提供书面声明函）；</w:t>
      </w:r>
    </w:p>
    <w:p w14:paraId="0FE20D3B">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4.5符合法律、行政法规规定的其他条件；</w:t>
      </w:r>
    </w:p>
    <w:p w14:paraId="6EC65E92">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4.6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14:paraId="4A35ED54">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default" w:ascii="宋体" w:hAnsi="宋体" w:eastAsia="宋体" w:cs="宋体"/>
          <w:color w:val="auto"/>
          <w:lang w:val="en-US" w:eastAsia="zh-CN"/>
        </w:rPr>
      </w:pPr>
      <w:r>
        <w:rPr>
          <w:rFonts w:hint="eastAsia" w:ascii="宋体" w:hAnsi="宋体" w:eastAsia="宋体" w:cs="宋体"/>
          <w:color w:val="auto"/>
          <w:lang w:val="en-US" w:eastAsia="zh-CN"/>
        </w:rPr>
        <w:t>4.7单位负责人为同一人或者存在直接控股、管理关系的不同供应商，不得参加同一合同项下的投标（提供书面声明函）。一经发现，将导致投标同时被拒绝。</w:t>
      </w:r>
    </w:p>
    <w:p w14:paraId="63574FDA">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5.投标费用</w:t>
      </w:r>
    </w:p>
    <w:p w14:paraId="3F901A62">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不论投标结果如何，</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均应自行承担所有与投标有关的全部费用。</w:t>
      </w:r>
    </w:p>
    <w:p w14:paraId="6CDB0AD5">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6.联合体投标：本项目不接受联合体投标。</w:t>
      </w:r>
    </w:p>
    <w:p w14:paraId="73933EAE">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7.关联企业投标</w:t>
      </w:r>
    </w:p>
    <w:p w14:paraId="5ED1E0D2">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7.1 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文件所称关联企业,是指存在关联关系的企业。“关联关系”的界定适用《中华人民共和国公司法》第二百一十六条、《中华人民共和国政府采购法实施条例》第十八条之规定。</w:t>
      </w:r>
    </w:p>
    <w:p w14:paraId="1F93CF28">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p>
    <w:p w14:paraId="502D8993">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7.3 为采购项目提供整体设计、规范编制或者项目管理、监理、检测等服务的供应商，不得再参加该采购项目的投标活动。</w:t>
      </w:r>
    </w:p>
    <w:p w14:paraId="564666CA">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8.转包与分包</w:t>
      </w:r>
    </w:p>
    <w:p w14:paraId="08026DF6">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8.1本项目不允许采取转包方式履行合同。</w:t>
      </w:r>
    </w:p>
    <w:p w14:paraId="705829EB">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8.2本项目不允许采取分包方式履行合同。</w:t>
      </w:r>
    </w:p>
    <w:p w14:paraId="7F3CAB10">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9.特别说明：</w:t>
      </w:r>
    </w:p>
    <w:p w14:paraId="17B948FF">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9.1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投标所使用的资格、信誉、荣誉、业绩与企业认证必须为本法人所拥有。  </w:t>
      </w:r>
    </w:p>
    <w:p w14:paraId="5371F22A">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9.2</w:t>
      </w:r>
      <w:r>
        <w:rPr>
          <w:rFonts w:hint="eastAsia" w:ascii="宋体" w:hAnsi="宋体" w:cs="宋体"/>
          <w:color w:val="auto"/>
          <w:kern w:val="0"/>
          <w:szCs w:val="21"/>
          <w:highlight w:val="none"/>
          <w:lang w:val="en-US" w:eastAsia="zh-CN"/>
        </w:rPr>
        <w:t xml:space="preserve">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代表只能接受一个</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的委托参加投标。</w:t>
      </w:r>
    </w:p>
    <w:p w14:paraId="114217EB">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9.3《政府采购法》第二十二条第五款“参加政府采购活动前三年内，在经营活动中没有重大违法记录”，“重大违法记录”包括</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或者其法定代表人、董事、监事、高级管理人员因经营活动中的违法行为受到行政处罚，但警告和罚款额在人民币3万元以下的行政处罚除外；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或其法定代表人、董事、监事、高级管理人员因经营活动中的违法行为受到刑事处罚。</w:t>
      </w:r>
    </w:p>
    <w:p w14:paraId="4BFB8573">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9.4</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在投标活动中提供虚假材料或从事其他违法活动的,其投标无效，由相关部门查处。</w:t>
      </w:r>
    </w:p>
    <w:p w14:paraId="3DD47A69">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10.质疑和投诉</w:t>
      </w:r>
    </w:p>
    <w:p w14:paraId="7E7D3FEC">
      <w:pPr>
        <w:keepNext w:val="0"/>
        <w:keepLines w:val="0"/>
        <w:pageBreakBefore w:val="0"/>
        <w:widowControl/>
        <w:kinsoku/>
        <w:wordWrap/>
        <w:overflowPunct/>
        <w:topLinePunct w:val="0"/>
        <w:bidi w:val="0"/>
        <w:snapToGrid w:val="0"/>
        <w:spacing w:line="360" w:lineRule="auto"/>
        <w:ind w:firstLine="411" w:firstLineChars="196"/>
        <w:jc w:val="left"/>
        <w:rPr>
          <w:rFonts w:ascii="宋体" w:hAnsi="宋体" w:cs="宋体"/>
          <w:color w:val="auto"/>
          <w:kern w:val="0"/>
          <w:szCs w:val="21"/>
          <w:highlight w:val="none"/>
        </w:rPr>
      </w:pPr>
      <w:r>
        <w:rPr>
          <w:rFonts w:hint="eastAsia" w:ascii="宋体" w:hAnsi="宋体" w:cs="宋体"/>
          <w:color w:val="auto"/>
          <w:kern w:val="0"/>
          <w:szCs w:val="21"/>
          <w:highlight w:val="none"/>
        </w:rPr>
        <w:t>10.1 </w:t>
      </w:r>
      <w:r>
        <w:rPr>
          <w:rFonts w:hint="eastAsia" w:ascii="宋体" w:hAnsi="宋体" w:cs="宋体"/>
          <w:bCs/>
          <w:color w:val="auto"/>
          <w:kern w:val="0"/>
          <w:szCs w:val="21"/>
          <w:highlight w:val="none"/>
        </w:rPr>
        <w:t>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color w:val="auto"/>
          <w:kern w:val="0"/>
          <w:szCs w:val="21"/>
          <w:highlight w:val="none"/>
          <w:lang w:val="en-US" w:eastAsia="zh-CN"/>
        </w:rPr>
        <w:t>医院纪检</w:t>
      </w:r>
      <w:r>
        <w:rPr>
          <w:rFonts w:hint="eastAsia" w:ascii="宋体" w:hAnsi="宋体" w:cs="宋体"/>
          <w:color w:val="auto"/>
          <w:kern w:val="0"/>
          <w:szCs w:val="21"/>
          <w:highlight w:val="none"/>
        </w:rPr>
        <w:t>部门投诉。</w:t>
      </w:r>
    </w:p>
    <w:p w14:paraId="62016537">
      <w:pPr>
        <w:keepNext w:val="0"/>
        <w:keepLines w:val="0"/>
        <w:pageBreakBefore w:val="0"/>
        <w:widowControl/>
        <w:shd w:val="clear" w:color="auto" w:fill="FFFFFF"/>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10.2 </w:t>
      </w:r>
      <w:r>
        <w:rPr>
          <w:rFonts w:hint="eastAsia" w:ascii="宋体" w:hAnsi="宋体" w:cs="宋体"/>
          <w:bCs/>
          <w:color w:val="auto"/>
          <w:kern w:val="0"/>
          <w:szCs w:val="21"/>
          <w:highlight w:val="none"/>
        </w:rPr>
        <w:t>质疑、投诉应当采用书面形式，质疑书、投诉书均应明确阐述</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过程和中标结果中使自己合法权益受到损害的实质性内容，提供相关事实、依据和证据及其来源或线索，便于有关单位调查、答复和处理。</w:t>
      </w:r>
    </w:p>
    <w:p w14:paraId="42BDA1CB">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11.</w:t>
      </w:r>
      <w:r>
        <w:rPr>
          <w:rFonts w:hint="eastAsia" w:ascii="宋体" w:hAnsi="宋体" w:cs="宋体"/>
          <w:b/>
          <w:bCs/>
          <w:color w:val="auto"/>
          <w:kern w:val="0"/>
          <w:szCs w:val="21"/>
          <w:highlight w:val="none"/>
          <w:lang w:eastAsia="zh-CN"/>
        </w:rPr>
        <w:t>供应商</w:t>
      </w:r>
      <w:r>
        <w:rPr>
          <w:rFonts w:hint="eastAsia" w:ascii="宋体" w:hAnsi="宋体" w:cs="宋体"/>
          <w:b/>
          <w:bCs/>
          <w:color w:val="auto"/>
          <w:kern w:val="0"/>
          <w:szCs w:val="21"/>
          <w:highlight w:val="none"/>
        </w:rPr>
        <w:t>的风险</w:t>
      </w:r>
    </w:p>
    <w:p w14:paraId="139A253A">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没有按照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文件要求提供全部资料，或者</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没有对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文件在各方面都作出实质性响应是</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的风险，并可能导致其投标被拒绝。</w:t>
      </w:r>
    </w:p>
    <w:p w14:paraId="3AE494BD">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二、</w:t>
      </w:r>
      <w:r>
        <w:rPr>
          <w:rFonts w:hint="eastAsia" w:ascii="黑体" w:hAnsi="宋体" w:eastAsia="黑体" w:cs="宋体"/>
          <w:b/>
          <w:bCs/>
          <w:color w:val="auto"/>
          <w:kern w:val="0"/>
          <w:sz w:val="32"/>
          <w:szCs w:val="32"/>
          <w:highlight w:val="none"/>
          <w:lang w:val="en-US" w:eastAsia="zh-CN"/>
        </w:rPr>
        <w:t>采购</w:t>
      </w:r>
      <w:r>
        <w:rPr>
          <w:rFonts w:hint="eastAsia" w:ascii="黑体" w:hAnsi="宋体" w:eastAsia="黑体" w:cs="宋体"/>
          <w:b/>
          <w:bCs/>
          <w:color w:val="auto"/>
          <w:kern w:val="0"/>
          <w:sz w:val="32"/>
          <w:szCs w:val="32"/>
          <w:highlight w:val="none"/>
        </w:rPr>
        <w:t>文件</w:t>
      </w:r>
    </w:p>
    <w:p w14:paraId="016141D6">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12.</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文件的构成。本</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文件由以下部分组成：</w:t>
      </w:r>
    </w:p>
    <w:p w14:paraId="5DED3BF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12.1 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w:t>
      </w:r>
    </w:p>
    <w:p w14:paraId="4FE7817F">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需求</w:t>
      </w:r>
    </w:p>
    <w:p w14:paraId="0A84C60F">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12.3 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w:t>
      </w:r>
    </w:p>
    <w:p w14:paraId="272B1B6D">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12.4 评标办法</w:t>
      </w:r>
    </w:p>
    <w:p w14:paraId="5CF335EB">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12.5 合同主要条款</w:t>
      </w:r>
    </w:p>
    <w:p w14:paraId="3F1D7DF7">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12.6 投标文件格式</w:t>
      </w:r>
    </w:p>
    <w:p w14:paraId="18EFA125">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bCs/>
          <w:color w:val="auto"/>
          <w:kern w:val="0"/>
          <w:szCs w:val="21"/>
          <w:highlight w:val="none"/>
        </w:rPr>
      </w:pPr>
      <w:r>
        <w:rPr>
          <w:rFonts w:hint="eastAsia" w:ascii="宋体" w:hAnsi="宋体" w:cs="宋体"/>
          <w:b/>
          <w:bCs/>
          <w:color w:val="auto"/>
          <w:kern w:val="0"/>
          <w:szCs w:val="21"/>
          <w:highlight w:val="none"/>
        </w:rPr>
        <w:t>13.</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文件的澄清与修改</w:t>
      </w:r>
    </w:p>
    <w:p w14:paraId="57318276">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13.1 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对已发出的</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文件进行必要澄清、修改或补充的，应当在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文件要求提交投标文件截止时间</w:t>
      </w:r>
      <w:r>
        <w:rPr>
          <w:rFonts w:hint="eastAsia" w:ascii="宋体" w:hAnsi="宋体" w:cs="宋体"/>
          <w:color w:val="auto"/>
          <w:kern w:val="0"/>
          <w:szCs w:val="21"/>
          <w:highlight w:val="none"/>
          <w:lang w:val="en-US" w:eastAsia="zh-CN"/>
        </w:rPr>
        <w:t>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前，在</w:t>
      </w:r>
      <w:r>
        <w:rPr>
          <w:rFonts w:hint="eastAsia" w:ascii="宋体" w:hAnsi="宋体" w:cs="宋体"/>
          <w:color w:val="auto"/>
          <w:kern w:val="0"/>
          <w:szCs w:val="21"/>
          <w:highlight w:val="none"/>
          <w:lang w:val="en-US" w:eastAsia="zh-CN"/>
        </w:rPr>
        <w:t>原采购公告发布</w:t>
      </w:r>
      <w:r>
        <w:rPr>
          <w:rFonts w:hint="eastAsia" w:ascii="宋体" w:hAnsi="宋体" w:cs="宋体"/>
          <w:color w:val="auto"/>
          <w:kern w:val="0"/>
          <w:szCs w:val="21"/>
          <w:highlight w:val="none"/>
        </w:rPr>
        <w:t>相关媒体上发布更正公告或变更公告。</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文件公示期间对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文件进行的澄清、修改或补充不受上述限制。</w:t>
      </w:r>
    </w:p>
    <w:p w14:paraId="119EC2CD">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文件澄清、修改或补充的内容为</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文件的组成部分。</w:t>
      </w:r>
    </w:p>
    <w:p w14:paraId="37E04B04">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13.3 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文件的澄清、修改或补充都应以法定形式发布。采购人未对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文件进行的澄清、修改或补充无效，评标时不予认可。</w:t>
      </w:r>
    </w:p>
    <w:p w14:paraId="704F0EEB">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13.4 </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可以视招标具体情况延长投标截止时间和开标时间，但至少应当在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文件要求提交投标文件的截止时间3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前，将变更时间</w:t>
      </w:r>
      <w:r>
        <w:rPr>
          <w:rFonts w:hint="eastAsia" w:ascii="宋体" w:hAnsi="宋体" w:cs="宋体"/>
          <w:color w:val="auto"/>
          <w:kern w:val="0"/>
          <w:szCs w:val="21"/>
          <w:highlight w:val="none"/>
          <w:lang w:val="en-US" w:eastAsia="zh-CN"/>
        </w:rPr>
        <w:t>通知所有潜在供应商</w:t>
      </w:r>
      <w:r>
        <w:rPr>
          <w:rFonts w:hint="eastAsia" w:ascii="宋体" w:hAnsi="宋体" w:cs="宋体"/>
          <w:color w:val="auto"/>
          <w:kern w:val="0"/>
          <w:szCs w:val="21"/>
          <w:highlight w:val="none"/>
        </w:rPr>
        <w:t>。</w:t>
      </w:r>
    </w:p>
    <w:p w14:paraId="2E9E59E8">
      <w:pPr>
        <w:keepNext w:val="0"/>
        <w:keepLines w:val="0"/>
        <w:pageBreakBefore w:val="0"/>
        <w:widowControl/>
        <w:kinsoku/>
        <w:wordWrap/>
        <w:overflowPunct/>
        <w:topLinePunct w:val="0"/>
        <w:bidi w:val="0"/>
        <w:snapToGrid w:val="0"/>
        <w:spacing w:line="360" w:lineRule="auto"/>
        <w:ind w:firstLine="2229" w:firstLineChars="694"/>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三</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投标文件的编制</w:t>
      </w:r>
    </w:p>
    <w:p w14:paraId="4B4E9695">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14.要求</w:t>
      </w:r>
    </w:p>
    <w:p w14:paraId="08BCFE4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14.1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应仔细阅读</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文件的所有内容，按照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文件提供的格式编写投标文件，不得缺少或留空任何</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文件要求填写的表格或提交的资料。</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文件提供格式的按格式填列，未提供格式的可自行拟定。投标文件应对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文件的要求作出实质性响应（包括</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资格要求、技术要求、商务要求和投标文件格式中对投标的要求），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对所提供的全部资料的合法性、真实性负责。</w:t>
      </w:r>
    </w:p>
    <w:p w14:paraId="464E4B4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14.2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应完整签署投标文件格式附件中《投标书》和《抵制商业贿赂承诺》，不得增减或修改内容。否则视为对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14:paraId="0C390437">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15.投标文件的语言和计量单位</w:t>
      </w:r>
    </w:p>
    <w:p w14:paraId="11F253A5">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15.1投标文件以及</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与采购人就有关投标事宜的所有来往函电均应使用简体中文书写。</w:t>
      </w:r>
    </w:p>
    <w:p w14:paraId="689108D6">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15.2 关于投标计量单位，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文件已有明确规定的，使用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文件规定的计量单位；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文件没有规定的，应采用中华人民共和国法定计量单位。否则视为对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14:paraId="34CF5264">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15.3 原版为外文的证书类文件，以及由外国人做出的本人签名、外国公司的名称或外国印章等可以是外文，但应当提供中文翻译文件并加盖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公章。必要时</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可以要求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提供附有公证书的中文翻译文件或者与原版文件签章相一致的中文翻译文件。</w:t>
      </w:r>
    </w:p>
    <w:p w14:paraId="30EE60AA">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16.投标文件的组成</w:t>
      </w:r>
      <w:r>
        <w:rPr>
          <w:rFonts w:hint="eastAsia" w:ascii="宋体" w:hAnsi="宋体" w:cs="宋体"/>
          <w:color w:val="auto"/>
          <w:kern w:val="0"/>
          <w:szCs w:val="21"/>
          <w:highlight w:val="none"/>
        </w:rPr>
        <w:t>。</w:t>
      </w:r>
      <w:r>
        <w:rPr>
          <w:rFonts w:hint="eastAsia" w:ascii="宋体" w:hAnsi="宋体" w:cs="宋体"/>
          <w:b/>
          <w:bCs/>
          <w:color w:val="auto"/>
          <w:kern w:val="0"/>
          <w:szCs w:val="21"/>
          <w:highlight w:val="none"/>
        </w:rPr>
        <w:t>投标文件应包括下列部分：</w:t>
      </w:r>
    </w:p>
    <w:p w14:paraId="3908CC2E">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16.1、投标书及开标一览表</w:t>
      </w:r>
    </w:p>
    <w:p w14:paraId="6A89690F">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val="en-US" w:eastAsia="zh-CN"/>
        </w:rPr>
        <w:t>16.2、</w:t>
      </w:r>
      <w:r>
        <w:rPr>
          <w:rFonts w:hint="eastAsia" w:ascii="宋体" w:hAnsi="宋体" w:cs="宋体"/>
          <w:color w:val="auto"/>
          <w:kern w:val="0"/>
          <w:szCs w:val="21"/>
          <w:highlight w:val="none"/>
        </w:rPr>
        <w:t>报价明细表</w:t>
      </w:r>
    </w:p>
    <w:p w14:paraId="75232A5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、技术响应表</w:t>
      </w:r>
    </w:p>
    <w:p w14:paraId="47C98312">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、商务响应表</w:t>
      </w:r>
    </w:p>
    <w:p w14:paraId="42896EA9">
      <w:pPr>
        <w:keepNext w:val="0"/>
        <w:keepLines w:val="0"/>
        <w:pageBreakBefore w:val="0"/>
        <w:widowControl/>
        <w:kinsoku/>
        <w:wordWrap/>
        <w:overflowPunct/>
        <w:topLinePunct w:val="0"/>
        <w:bidi w:val="0"/>
        <w:snapToGrid w:val="0"/>
        <w:spacing w:line="360" w:lineRule="auto"/>
        <w:ind w:left="208" w:leftChars="99" w:firstLine="210" w:firstLineChars="1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、法定代表人身份证明</w:t>
      </w:r>
    </w:p>
    <w:p w14:paraId="78AB3E9A">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、法定代表人授权书</w:t>
      </w:r>
    </w:p>
    <w:p w14:paraId="130DC32A">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7</w:t>
      </w:r>
      <w:r>
        <w:rPr>
          <w:rFonts w:hint="eastAsia" w:ascii="宋体" w:hAnsi="宋体" w:cs="宋体"/>
          <w:color w:val="auto"/>
          <w:kern w:val="0"/>
          <w:szCs w:val="21"/>
          <w:highlight w:val="none"/>
        </w:rPr>
        <w:t>、证明文件</w:t>
      </w:r>
    </w:p>
    <w:p w14:paraId="2853D6C6">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、抵制商业贿赂承诺</w:t>
      </w:r>
    </w:p>
    <w:p w14:paraId="077E3C42">
      <w:pPr>
        <w:pStyle w:val="31"/>
        <w:keepNext w:val="0"/>
        <w:keepLines w:val="0"/>
        <w:pageBreakBefore w:val="0"/>
        <w:kinsoku/>
        <w:wordWrap/>
        <w:overflowPunct/>
        <w:topLinePunct w:val="0"/>
        <w:bidi w:val="0"/>
        <w:snapToGrid w:val="0"/>
        <w:spacing w:beforeAutospacing="0" w:afterAutospacing="0" w:line="360" w:lineRule="auto"/>
        <w:rPr>
          <w:color w:val="auto"/>
          <w:sz w:val="21"/>
          <w:szCs w:val="21"/>
          <w:highlight w:val="none"/>
        </w:rPr>
      </w:pPr>
      <w:r>
        <w:rPr>
          <w:rFonts w:hint="eastAsia"/>
          <w:color w:val="auto"/>
          <w:sz w:val="21"/>
          <w:szCs w:val="21"/>
          <w:highlight w:val="none"/>
        </w:rPr>
        <w:t>16.</w:t>
      </w:r>
      <w:r>
        <w:rPr>
          <w:rFonts w:hint="eastAsia"/>
          <w:color w:val="auto"/>
          <w:sz w:val="21"/>
          <w:szCs w:val="21"/>
          <w:highlight w:val="none"/>
          <w:lang w:val="en-US" w:eastAsia="zh-CN"/>
        </w:rPr>
        <w:t>9</w:t>
      </w:r>
      <w:r>
        <w:rPr>
          <w:rFonts w:hint="eastAsia"/>
          <w:color w:val="auto"/>
          <w:sz w:val="21"/>
          <w:szCs w:val="21"/>
          <w:highlight w:val="none"/>
        </w:rPr>
        <w:t>、</w:t>
      </w:r>
      <w:r>
        <w:rPr>
          <w:rFonts w:hint="eastAsia"/>
          <w:color w:val="auto"/>
          <w:sz w:val="21"/>
          <w:szCs w:val="21"/>
          <w:highlight w:val="none"/>
          <w:lang w:eastAsia="zh-CN"/>
        </w:rPr>
        <w:t>供应商</w:t>
      </w:r>
      <w:r>
        <w:rPr>
          <w:rFonts w:hint="eastAsia"/>
          <w:color w:val="auto"/>
          <w:sz w:val="21"/>
          <w:szCs w:val="21"/>
          <w:highlight w:val="none"/>
        </w:rPr>
        <w:t>认为有必要的其他资料</w:t>
      </w:r>
    </w:p>
    <w:p w14:paraId="41221C83">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17.投标有效期</w:t>
      </w:r>
    </w:p>
    <w:p w14:paraId="4FB4B0E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17.1 投标文件从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公告所规定的投标截止期之后开始生效，在</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须知前附表</w:t>
      </w:r>
      <w:r>
        <w:rPr>
          <w:rFonts w:hint="eastAsia" w:ascii="宋体" w:hAnsi="宋体" w:cs="宋体"/>
          <w:color w:val="auto"/>
          <w:kern w:val="0"/>
          <w:szCs w:val="21"/>
          <w:highlight w:val="none"/>
        </w:rPr>
        <w:t>第16项所规定的期限内保持有效。有效期不足将导致其投标文件被拒绝。</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的投标文件有效期至合同完全履行止。</w:t>
      </w:r>
    </w:p>
    <w:p w14:paraId="38FF0120">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17.2特殊情况下</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可于投标有效期满之前书面要求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同意延长有效期，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应在</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规定的期限内以书面形式予以答复。</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可以拒绝上述要求。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答复不明确或者逾期未答复的，均视为拒绝上述要求。对于接受该要求的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，既不要求也不允许其修改投标文件。</w:t>
      </w:r>
    </w:p>
    <w:p w14:paraId="5AB02DAB">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18.投标报价</w:t>
      </w:r>
    </w:p>
    <w:p w14:paraId="0AD51148">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18.1 所有投标报价均以人民币元为计算单位。</w:t>
      </w:r>
    </w:p>
    <w:p w14:paraId="0509663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要按开标一览表的内容填写。</w:t>
      </w:r>
    </w:p>
    <w:p w14:paraId="2A6C45F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18.3 </w:t>
      </w:r>
      <w:r>
        <w:rPr>
          <w:rFonts w:hint="eastAsia" w:ascii="宋体" w:hAnsi="宋体" w:cs="宋体"/>
          <w:color w:val="auto"/>
          <w:spacing w:val="10"/>
          <w:kern w:val="0"/>
          <w:szCs w:val="21"/>
          <w:highlight w:val="none"/>
          <w:lang w:eastAsia="zh-CN"/>
        </w:rPr>
        <w:t>供应商</w:t>
      </w:r>
      <w:r>
        <w:rPr>
          <w:rFonts w:hint="eastAsia" w:ascii="宋体" w:hAnsi="宋体" w:cs="宋体"/>
          <w:color w:val="auto"/>
          <w:spacing w:val="10"/>
          <w:kern w:val="0"/>
          <w:szCs w:val="21"/>
          <w:highlight w:val="none"/>
        </w:rPr>
        <w:t>投报多标包的，应对每标包分别报价并分别填报开标一览表。</w:t>
      </w:r>
    </w:p>
    <w:p w14:paraId="0A4B482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18.4 开标一览表中标明的价格为磋商时的参考价格，磋商小组以最终磋商报价确定成交供应商的成交价格。</w:t>
      </w:r>
    </w:p>
    <w:p w14:paraId="4F7F0A29">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 xml:space="preserve"> 对于</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在开标一览表和投标文件中列出的赠送条款，在评审时不得作为价格评分因素或者调整评标价格的依据。</w:t>
      </w:r>
    </w:p>
    <w:p w14:paraId="3C3FA8CB">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eastAsia="zh-CN"/>
        </w:rPr>
      </w:pPr>
      <w:r>
        <w:rPr>
          <w:rFonts w:hint="eastAsia" w:ascii="宋体" w:hAnsi="宋体" w:cs="宋体"/>
          <w:b/>
          <w:color w:val="auto"/>
          <w:kern w:val="0"/>
          <w:szCs w:val="21"/>
          <w:highlight w:val="none"/>
        </w:rPr>
        <w:t>19.投标保证金</w:t>
      </w:r>
      <w:r>
        <w:rPr>
          <w:rFonts w:hint="eastAsia" w:ascii="宋体" w:hAnsi="宋体" w:cs="宋体"/>
          <w:b/>
          <w:color w:val="auto"/>
          <w:kern w:val="0"/>
          <w:szCs w:val="21"/>
          <w:highlight w:val="none"/>
          <w:lang w:eastAsia="zh-CN"/>
        </w:rPr>
        <w:t>（</w:t>
      </w:r>
      <w:r>
        <w:rPr>
          <w:rFonts w:hint="eastAsia" w:ascii="宋体" w:hAnsi="宋体" w:cs="宋体"/>
          <w:b/>
          <w:color w:val="auto"/>
          <w:kern w:val="0"/>
          <w:szCs w:val="21"/>
          <w:highlight w:val="none"/>
          <w:lang w:val="en-US" w:eastAsia="zh-CN"/>
        </w:rPr>
        <w:t>详见采购公告</w:t>
      </w:r>
      <w:r>
        <w:rPr>
          <w:rFonts w:hint="eastAsia" w:ascii="宋体" w:hAnsi="宋体" w:cs="宋体"/>
          <w:b/>
          <w:color w:val="auto"/>
          <w:kern w:val="0"/>
          <w:szCs w:val="21"/>
          <w:highlight w:val="none"/>
          <w:lang w:eastAsia="zh-CN"/>
        </w:rPr>
        <w:t>）</w:t>
      </w:r>
    </w:p>
    <w:p w14:paraId="27411C71">
      <w:pPr>
        <w:keepNext w:val="0"/>
        <w:keepLines w:val="0"/>
        <w:pageBreakBefore w:val="0"/>
        <w:widowControl/>
        <w:kinsoku/>
        <w:wordWrap/>
        <w:overflowPunct/>
        <w:topLinePunct w:val="0"/>
        <w:bidi w:val="0"/>
        <w:snapToGrid w:val="0"/>
        <w:spacing w:line="360" w:lineRule="auto"/>
        <w:ind w:firstLine="417" w:firstLineChars="198"/>
        <w:rPr>
          <w:rFonts w:hint="default"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rPr>
        <w:t>20.投标文件的签署</w:t>
      </w:r>
      <w:r>
        <w:rPr>
          <w:rFonts w:hint="eastAsia" w:ascii="宋体" w:hAnsi="宋体" w:cs="宋体"/>
          <w:b/>
          <w:color w:val="auto"/>
          <w:kern w:val="0"/>
          <w:szCs w:val="21"/>
          <w:highlight w:val="none"/>
          <w:lang w:val="en-US" w:eastAsia="zh-CN"/>
        </w:rPr>
        <w:t>及其他规定</w:t>
      </w:r>
    </w:p>
    <w:p w14:paraId="47EE9040">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.1投标文件应按第六章“投标文件格式”进行编写，如有必要，可以增加附页，作为投标文件的组成部分。其中，投标报价一览表在满足</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文件实质性要求的基础上，可以提出比</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文件要求更有利于采购人的承诺</w:t>
      </w:r>
      <w:r>
        <w:rPr>
          <w:rFonts w:hint="eastAsia" w:ascii="宋体" w:hAnsi="宋体" w:eastAsia="宋体" w:cs="宋体"/>
          <w:color w:val="000000" w:themeColor="text1"/>
          <w:kern w:val="0"/>
          <w:szCs w:val="21"/>
          <w:highlight w:val="none"/>
          <w14:textFill>
            <w14:solidFill>
              <w14:schemeClr w14:val="tx1"/>
            </w14:solidFill>
          </w14:textFill>
        </w:rPr>
        <w:t>。</w:t>
      </w:r>
    </w:p>
    <w:p w14:paraId="45A26450">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Cs w:val="21"/>
          <w:highlight w:val="none"/>
          <w14:textFill>
            <w14:solidFill>
              <w14:schemeClr w14:val="tx1"/>
            </w14:solidFill>
          </w14:textFill>
        </w:rPr>
        <w:t>.2 投标文件应当对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eastAsia="宋体" w:cs="宋体"/>
          <w:color w:val="000000" w:themeColor="text1"/>
          <w:kern w:val="0"/>
          <w:szCs w:val="21"/>
          <w:highlight w:val="none"/>
          <w14:textFill>
            <w14:solidFill>
              <w14:schemeClr w14:val="tx1"/>
            </w14:solidFill>
          </w14:textFill>
        </w:rPr>
        <w:t>文件有关</w:t>
      </w:r>
      <w:r>
        <w:rPr>
          <w:rFonts w:hint="eastAsia" w:ascii="宋体" w:hAnsi="宋体" w:cs="宋体"/>
          <w:color w:val="000000" w:themeColor="text1"/>
          <w:kern w:val="0"/>
          <w:szCs w:val="21"/>
          <w:highlight w:val="none"/>
          <w:lang w:val="en-US" w:eastAsia="zh-CN"/>
          <w14:textFill>
            <w14:solidFill>
              <w14:schemeClr w14:val="tx1"/>
            </w14:solidFill>
          </w14:textFill>
        </w:rPr>
        <w:t>交货期</w:t>
      </w:r>
      <w:r>
        <w:rPr>
          <w:rFonts w:hint="eastAsia" w:ascii="宋体" w:hAnsi="宋体" w:eastAsia="宋体" w:cs="宋体"/>
          <w:color w:val="000000" w:themeColor="text1"/>
          <w:kern w:val="0"/>
          <w:szCs w:val="21"/>
          <w:highlight w:val="none"/>
          <w14:textFill>
            <w14:solidFill>
              <w14:schemeClr w14:val="tx1"/>
            </w14:solidFill>
          </w14:textFill>
        </w:rPr>
        <w:t>、投标有效期、</w:t>
      </w:r>
      <w:r>
        <w:rPr>
          <w:rFonts w:hint="eastAsia" w:ascii="宋体" w:hAnsi="宋体" w:cs="宋体"/>
          <w:color w:val="000000" w:themeColor="text1"/>
          <w:kern w:val="0"/>
          <w:szCs w:val="21"/>
          <w:highlight w:val="none"/>
          <w:lang w:val="en-US" w:eastAsia="zh-CN"/>
          <w14:textFill>
            <w14:solidFill>
              <w14:schemeClr w14:val="tx1"/>
            </w14:solidFill>
          </w14:textFill>
        </w:rPr>
        <w:t>质量</w:t>
      </w:r>
      <w:r>
        <w:rPr>
          <w:rFonts w:hint="eastAsia" w:ascii="宋体" w:hAnsi="宋体" w:eastAsia="宋体" w:cs="宋体"/>
          <w:color w:val="000000" w:themeColor="text1"/>
          <w:kern w:val="0"/>
          <w:szCs w:val="21"/>
          <w:highlight w:val="none"/>
          <w14:textFill>
            <w14:solidFill>
              <w14:schemeClr w14:val="tx1"/>
            </w14:solidFill>
          </w14:textFill>
        </w:rPr>
        <w:t>要求、技术标准和要求、</w:t>
      </w:r>
      <w:r>
        <w:rPr>
          <w:rFonts w:hint="eastAsia" w:ascii="宋体" w:hAnsi="宋体" w:cs="宋体"/>
          <w:color w:val="auto"/>
          <w:kern w:val="0"/>
          <w:szCs w:val="21"/>
          <w:highlight w:val="none"/>
          <w:lang w:eastAsia="zh-CN"/>
        </w:rPr>
        <w:t>磋商</w:t>
      </w:r>
      <w:r>
        <w:rPr>
          <w:rFonts w:hint="eastAsia" w:ascii="宋体" w:hAnsi="宋体" w:eastAsia="宋体" w:cs="宋体"/>
          <w:color w:val="auto"/>
          <w:kern w:val="0"/>
          <w:szCs w:val="21"/>
          <w:highlight w:val="none"/>
        </w:rPr>
        <w:t>范围等实质性内容作出响应。</w:t>
      </w:r>
    </w:p>
    <w:p w14:paraId="1AC8CF19">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.3投标文件应用不褪色的材料书写或打印，并由</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的法定代表人盖章或盖单位公章；投标文件应尽量避免涂改、行间插字或删除，如果出现上述情况，改动之处应加盖单位公章或由</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的法定代表人盖章确认。签字或盖章的具体要求见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w:t>
      </w:r>
    </w:p>
    <w:p w14:paraId="5DF544E6">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.4投标文件份数见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须知前附表。投标文件正本和副本的封面上应清楚地标记“正本”或“副本”的字样。</w:t>
      </w:r>
    </w:p>
    <w:p w14:paraId="4EF1320F">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.5投标文件的具体装订要求见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须知前附表规定。</w:t>
      </w:r>
    </w:p>
    <w:p w14:paraId="66B1147B">
      <w:pPr>
        <w:keepNext w:val="0"/>
        <w:keepLines w:val="0"/>
        <w:pageBreakBefore w:val="0"/>
        <w:widowControl/>
        <w:kinsoku/>
        <w:wordWrap/>
        <w:overflowPunct/>
        <w:topLinePunct w:val="0"/>
        <w:bidi w:val="0"/>
        <w:snapToGrid w:val="0"/>
        <w:spacing w:line="360" w:lineRule="auto"/>
        <w:ind w:firstLine="2554" w:firstLineChars="795"/>
        <w:jc w:val="left"/>
        <w:rPr>
          <w:rFonts w:ascii="黑体" w:hAnsi="宋体" w:eastAsia="黑体" w:cs="宋体"/>
          <w:b/>
          <w:color w:val="auto"/>
          <w:kern w:val="0"/>
          <w:sz w:val="32"/>
          <w:szCs w:val="32"/>
          <w:highlight w:val="none"/>
        </w:rPr>
      </w:pPr>
      <w:r>
        <w:rPr>
          <w:rFonts w:hint="eastAsia" w:ascii="黑体" w:hAnsi="宋体" w:eastAsia="黑体" w:cs="宋体"/>
          <w:b/>
          <w:color w:val="auto"/>
          <w:kern w:val="0"/>
          <w:sz w:val="32"/>
          <w:szCs w:val="32"/>
          <w:highlight w:val="none"/>
        </w:rPr>
        <w:t>四、投标文件的递交</w:t>
      </w:r>
    </w:p>
    <w:p w14:paraId="09061D88">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ascii="宋体" w:hAnsi="宋体" w:cs="宋体"/>
          <w:b/>
          <w:color w:val="auto"/>
          <w:kern w:val="0"/>
          <w:szCs w:val="21"/>
          <w:highlight w:val="none"/>
        </w:rPr>
      </w:pPr>
      <w:r>
        <w:rPr>
          <w:rFonts w:hint="eastAsia" w:ascii="宋体" w:hAnsi="宋体" w:cs="宋体"/>
          <w:b/>
          <w:color w:val="auto"/>
          <w:kern w:val="0"/>
          <w:szCs w:val="21"/>
          <w:highlight w:val="none"/>
        </w:rPr>
        <w:t>21. 投标文件的密封、标记</w:t>
      </w:r>
    </w:p>
    <w:p w14:paraId="7F6F3646">
      <w:pPr>
        <w:keepNext w:val="0"/>
        <w:keepLines w:val="0"/>
        <w:pageBreakBefore w:val="0"/>
        <w:kinsoku/>
        <w:wordWrap/>
        <w:overflowPunct/>
        <w:topLinePunct w:val="0"/>
        <w:autoSpaceDE/>
        <w:autoSpaceDN/>
        <w:bidi w:val="0"/>
        <w:adjustRightInd/>
        <w:spacing w:line="360" w:lineRule="auto"/>
        <w:ind w:firstLine="424" w:firstLineChars="202"/>
        <w:textAlignment w:val="auto"/>
        <w:rPr>
          <w:rFonts w:ascii="宋体" w:hAnsi="宋体" w:cs="宋体"/>
          <w:color w:val="auto"/>
          <w:kern w:val="0"/>
          <w:szCs w:val="21"/>
          <w:highlight w:val="none"/>
        </w:rPr>
      </w:pPr>
      <w:r>
        <w:rPr>
          <w:rFonts w:hint="eastAsia" w:ascii="宋体" w:hAnsi="宋体" w:cs="宋体"/>
          <w:color w:val="auto"/>
          <w:kern w:val="0"/>
          <w:szCs w:val="21"/>
          <w:highlight w:val="none"/>
        </w:rPr>
        <w:t>21.1</w:t>
      </w:r>
      <w:r>
        <w:rPr>
          <w:color w:val="auto"/>
          <w:highlight w:val="none"/>
        </w:rPr>
        <w:t>响应文件应密封包装，并在封套的封口处加盖供应商单位章或由供应商的法定代表人（单位负责人）或其授权的代理人签字。</w:t>
      </w:r>
    </w:p>
    <w:p w14:paraId="6DB0D60A">
      <w:pPr>
        <w:keepNext w:val="0"/>
        <w:keepLines w:val="0"/>
        <w:pageBreakBefore w:val="0"/>
        <w:widowControl/>
        <w:kinsoku/>
        <w:wordWrap/>
        <w:overflowPunct/>
        <w:topLinePunct w:val="0"/>
        <w:bidi w:val="0"/>
        <w:snapToGrid w:val="0"/>
        <w:spacing w:line="360" w:lineRule="auto"/>
        <w:ind w:firstLine="420" w:firstLineChars="200"/>
        <w:jc w:val="left"/>
        <w:rPr>
          <w:rFonts w:hint="eastAsia"/>
          <w:highlight w:val="none"/>
          <w:lang w:eastAsia="zh-CN"/>
        </w:rPr>
      </w:pPr>
      <w:r>
        <w:rPr>
          <w:rFonts w:hint="eastAsia"/>
          <w:highlight w:val="none"/>
          <w:lang w:eastAsia="zh-CN"/>
        </w:rPr>
        <w:t>2</w:t>
      </w:r>
      <w:r>
        <w:rPr>
          <w:rFonts w:hint="eastAsia"/>
          <w:highlight w:val="none"/>
          <w:lang w:val="en-US" w:eastAsia="zh-CN"/>
        </w:rPr>
        <w:t>1</w:t>
      </w:r>
      <w:r>
        <w:rPr>
          <w:rFonts w:hint="eastAsia"/>
          <w:highlight w:val="none"/>
          <w:lang w:eastAsia="zh-CN"/>
        </w:rPr>
        <w:t>.</w:t>
      </w:r>
      <w:r>
        <w:rPr>
          <w:rFonts w:hint="eastAsia"/>
          <w:highlight w:val="none"/>
          <w:lang w:val="en-US" w:eastAsia="zh-CN"/>
        </w:rPr>
        <w:t>2</w:t>
      </w:r>
      <w:r>
        <w:rPr>
          <w:rFonts w:hint="eastAsia"/>
          <w:highlight w:val="none"/>
          <w:lang w:eastAsia="zh-CN"/>
        </w:rPr>
        <w:t xml:space="preserve"> 未按本章第2</w:t>
      </w:r>
      <w:r>
        <w:rPr>
          <w:rFonts w:hint="eastAsia"/>
          <w:highlight w:val="none"/>
          <w:lang w:val="en-US" w:eastAsia="zh-CN"/>
        </w:rPr>
        <w:t>1</w:t>
      </w:r>
      <w:r>
        <w:rPr>
          <w:rFonts w:hint="eastAsia"/>
          <w:highlight w:val="none"/>
          <w:lang w:eastAsia="zh-CN"/>
        </w:rPr>
        <w:t>.1项要求密封的投标文件，采购人不予受理。</w:t>
      </w:r>
    </w:p>
    <w:p w14:paraId="70BD39D5">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22. 投标文件的递交</w:t>
      </w:r>
    </w:p>
    <w:p w14:paraId="30C4CC51">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 xml:space="preserve">.1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应在规定的投标截止时间前</w:t>
      </w:r>
      <w:r>
        <w:rPr>
          <w:rFonts w:hint="eastAsia" w:ascii="宋体" w:hAnsi="宋体" w:cs="宋体"/>
          <w:color w:val="auto"/>
          <w:kern w:val="0"/>
          <w:szCs w:val="21"/>
          <w:highlight w:val="none"/>
          <w:lang w:eastAsia="zh-CN"/>
        </w:rPr>
        <w:t>递交</w:t>
      </w:r>
      <w:r>
        <w:rPr>
          <w:rFonts w:hint="eastAsia" w:ascii="宋体" w:hAnsi="宋体" w:cs="宋体"/>
          <w:color w:val="auto"/>
          <w:kern w:val="0"/>
          <w:szCs w:val="21"/>
          <w:highlight w:val="none"/>
        </w:rPr>
        <w:t>投标文件。</w:t>
      </w:r>
    </w:p>
    <w:p w14:paraId="09104873">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递交投标文件的地点：见</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w:t>
      </w:r>
    </w:p>
    <w:p w14:paraId="570C5431">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 除</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须知前附表另有规定外，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所递交的投标文件不予退还。</w:t>
      </w:r>
    </w:p>
    <w:p w14:paraId="7C92A611">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.4 逾期送达的或者未送达指定地点的投标文件，采购人不予受理。</w:t>
      </w:r>
    </w:p>
    <w:p w14:paraId="12280CF0">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23. 投标文件的修改和撤回</w:t>
      </w:r>
    </w:p>
    <w:p w14:paraId="64CC1A2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23.1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在投标截止时间前，可以对所提交的投标文件进行补充、修改或者撤回，并书面通知</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。补充、修改的内容和撤回通知应当按本须知要求签署、盖章、密封，并作为投标文件的组成部分。</w:t>
      </w:r>
    </w:p>
    <w:p w14:paraId="6A0ADAEA">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color w:val="auto"/>
          <w:kern w:val="0"/>
          <w:szCs w:val="21"/>
          <w:highlight w:val="none"/>
        </w:rPr>
        <w:t xml:space="preserve">23.2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在投标截止期后不得修改、撤回投标文件。</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在投标截止期后修改投标文件的，其投标将被拒绝。</w:t>
      </w:r>
    </w:p>
    <w:p w14:paraId="0668C4E6">
      <w:pPr>
        <w:keepNext w:val="0"/>
        <w:keepLines w:val="0"/>
        <w:pageBreakBefore w:val="0"/>
        <w:widowControl/>
        <w:kinsoku/>
        <w:wordWrap/>
        <w:overflowPunct/>
        <w:topLinePunct w:val="0"/>
        <w:bidi w:val="0"/>
        <w:snapToGrid w:val="0"/>
        <w:spacing w:line="360" w:lineRule="auto"/>
        <w:jc w:val="center"/>
        <w:outlineLvl w:val="1"/>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五</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评标</w:t>
      </w:r>
    </w:p>
    <w:p w14:paraId="4B252DD3">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color w:val="auto"/>
          <w:kern w:val="0"/>
          <w:szCs w:val="21"/>
          <w:highlight w:val="none"/>
          <w:lang w:eastAsia="zh-CN"/>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 组建</w:t>
      </w:r>
      <w:r>
        <w:rPr>
          <w:rFonts w:hint="eastAsia" w:ascii="宋体" w:hAnsi="宋体" w:cs="宋体"/>
          <w:b/>
          <w:bCs/>
          <w:color w:val="auto"/>
          <w:kern w:val="0"/>
          <w:szCs w:val="21"/>
          <w:highlight w:val="none"/>
          <w:lang w:eastAsia="zh-CN"/>
        </w:rPr>
        <w:t>磋商小组</w:t>
      </w:r>
    </w:p>
    <w:p w14:paraId="3224689B">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.1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由采购人代表和评审专家组成。成员由</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人以上单数组成。</w:t>
      </w:r>
      <w:r>
        <w:rPr>
          <w:rFonts w:hint="eastAsia" w:ascii="宋体" w:hAnsi="宋体" w:cs="宋体"/>
          <w:color w:val="auto"/>
          <w:szCs w:val="21"/>
          <w:highlight w:val="none"/>
        </w:rPr>
        <w:t>在开标后由</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对投标文件进行审查、质疑、评估和比较，并做合理的建议。</w:t>
      </w:r>
    </w:p>
    <w:p w14:paraId="39E6BC27">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成员要依法独立评审，并对评审意见承担个人责任。</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成员对需要共同认定的事项存在争议的，按照少数服从多数的原则</w:t>
      </w:r>
      <w:r>
        <w:rPr>
          <w:rFonts w:hint="eastAsia" w:ascii="宋体" w:hAnsi="宋体" w:cs="宋体"/>
          <w:color w:val="auto"/>
          <w:kern w:val="0"/>
          <w:szCs w:val="21"/>
          <w:highlight w:val="none"/>
        </w:rPr>
        <w:t>做</w:t>
      </w:r>
      <w:r>
        <w:rPr>
          <w:rFonts w:hint="eastAsia" w:ascii="宋体" w:hAnsi="宋体" w:cs="宋体"/>
          <w:color w:val="auto"/>
          <w:szCs w:val="21"/>
          <w:highlight w:val="none"/>
        </w:rPr>
        <w:t>出结论。持不同意见的</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成员应当在评标报告上签署不同意见</w:t>
      </w:r>
      <w:r>
        <w:rPr>
          <w:rFonts w:hint="eastAsia" w:ascii="宋体" w:hAnsi="宋体" w:cs="宋体"/>
          <w:color w:val="auto"/>
          <w:kern w:val="0"/>
          <w:szCs w:val="21"/>
          <w:highlight w:val="none"/>
        </w:rPr>
        <w:t>并说明</w:t>
      </w:r>
      <w:r>
        <w:rPr>
          <w:rFonts w:hint="eastAsia" w:ascii="宋体" w:hAnsi="宋体" w:cs="宋体"/>
          <w:color w:val="auto"/>
          <w:szCs w:val="21"/>
          <w:highlight w:val="none"/>
        </w:rPr>
        <w:t>理由，否则视为同意。</w:t>
      </w:r>
    </w:p>
    <w:p w14:paraId="35427DAA">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rPr>
        <w:t>2</w:t>
      </w:r>
      <w:r>
        <w:rPr>
          <w:rFonts w:hint="eastAsia" w:ascii="宋体" w:hAnsi="宋体" w:cs="宋体"/>
          <w:b/>
          <w:bCs/>
          <w:color w:val="auto"/>
          <w:szCs w:val="21"/>
          <w:highlight w:val="none"/>
          <w:lang w:val="en-US" w:eastAsia="zh-CN"/>
        </w:rPr>
        <w:t>5</w:t>
      </w:r>
      <w:r>
        <w:rPr>
          <w:rFonts w:hint="eastAsia" w:ascii="宋体" w:hAnsi="宋体" w:cs="宋体"/>
          <w:b/>
          <w:bCs/>
          <w:color w:val="auto"/>
          <w:szCs w:val="21"/>
          <w:highlight w:val="none"/>
        </w:rPr>
        <w:t>. 投标文件的初审</w:t>
      </w:r>
    </w:p>
    <w:p w14:paraId="71D67EF7">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.1对所有</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的评估，都采用相同的程序和标准。评标过程将严格按照</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文件的要求和条件进行。</w:t>
      </w:r>
    </w:p>
    <w:p w14:paraId="261D7735">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.2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将对投标文件进行检查，以确定投标文件是否完整、有无计算上的错误、文件是否已正确签署等。</w:t>
      </w:r>
    </w:p>
    <w:p w14:paraId="609F034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ascii="宋体" w:hAnsi="宋体" w:cs="宋体"/>
          <w:color w:val="auto"/>
          <w:kern w:val="0"/>
          <w:szCs w:val="21"/>
          <w:highlight w:val="none"/>
        </w:rPr>
        <w:t>.</w:t>
      </w:r>
      <w:r>
        <w:rPr>
          <w:rFonts w:hint="eastAsia" w:ascii="宋体" w:hAnsi="宋体" w:cs="宋体"/>
          <w:color w:val="auto"/>
          <w:kern w:val="0"/>
          <w:szCs w:val="21"/>
          <w:highlight w:val="none"/>
        </w:rPr>
        <w:t>3</w:t>
      </w:r>
      <w:r>
        <w:rPr>
          <w:rFonts w:ascii="宋体" w:hAnsi="宋体" w:cs="宋体"/>
          <w:color w:val="auto"/>
          <w:kern w:val="0"/>
          <w:szCs w:val="21"/>
          <w:highlight w:val="none"/>
        </w:rPr>
        <w:t> </w:t>
      </w:r>
      <w:r>
        <w:rPr>
          <w:rFonts w:hint="eastAsia"/>
          <w:color w:val="auto"/>
          <w:kern w:val="0"/>
          <w:szCs w:val="21"/>
          <w:highlight w:val="none"/>
        </w:rPr>
        <w:t>投标文件报价出现前后不一致的，除</w:t>
      </w:r>
      <w:r>
        <w:rPr>
          <w:rFonts w:hint="eastAsia"/>
          <w:color w:val="auto"/>
          <w:kern w:val="0"/>
          <w:szCs w:val="21"/>
          <w:highlight w:val="none"/>
          <w:lang w:val="en-US" w:eastAsia="zh-CN"/>
        </w:rPr>
        <w:t>采购</w:t>
      </w:r>
      <w:r>
        <w:rPr>
          <w:rFonts w:hint="eastAsia"/>
          <w:color w:val="auto"/>
          <w:kern w:val="0"/>
          <w:szCs w:val="21"/>
          <w:highlight w:val="none"/>
        </w:rPr>
        <w:t>文件另有规定外，</w:t>
      </w:r>
      <w:r>
        <w:rPr>
          <w:rFonts w:hint="eastAsia" w:cs="宋体"/>
          <w:color w:val="auto"/>
          <w:kern w:val="0"/>
          <w:szCs w:val="21"/>
          <w:highlight w:val="none"/>
        </w:rPr>
        <w:t>修正错误的原则如下：</w:t>
      </w:r>
    </w:p>
    <w:p w14:paraId="7D19BC6A">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.3.1</w:t>
      </w:r>
      <w:r>
        <w:rPr>
          <w:rFonts w:hint="eastAsia" w:ascii="宋体" w:hAnsi="宋体" w:cs="宋体"/>
          <w:color w:val="auto"/>
          <w:sz w:val="21"/>
          <w:szCs w:val="21"/>
          <w:highlight w:val="none"/>
          <w:shd w:val="clear" w:color="auto" w:fill="FFFFFF"/>
        </w:rPr>
        <w:t>投标文件开标一览表（报价表）内容与投标文件中相应内容不一致的，以开标一览表（报价表）为准；</w:t>
      </w:r>
    </w:p>
    <w:p w14:paraId="27B791B8">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.3.2</w:t>
      </w:r>
      <w:r>
        <w:rPr>
          <w:rFonts w:hint="eastAsia" w:ascii="宋体" w:hAnsi="宋体" w:cs="宋体"/>
          <w:color w:val="auto"/>
          <w:sz w:val="21"/>
          <w:szCs w:val="21"/>
          <w:highlight w:val="none"/>
          <w:shd w:val="clear" w:color="auto" w:fill="FFFFFF"/>
        </w:rPr>
        <w:t>大写金额</w:t>
      </w:r>
      <w:r>
        <w:rPr>
          <w:rFonts w:hint="eastAsia" w:ascii="宋体" w:hAnsi="宋体" w:cs="宋体"/>
          <w:color w:val="auto"/>
          <w:sz w:val="21"/>
          <w:szCs w:val="21"/>
          <w:highlight w:val="none"/>
        </w:rPr>
        <w:t>与</w:t>
      </w:r>
      <w:r>
        <w:rPr>
          <w:rFonts w:hint="eastAsia" w:ascii="宋体" w:hAnsi="宋体" w:cs="宋体"/>
          <w:color w:val="auto"/>
          <w:sz w:val="21"/>
          <w:szCs w:val="21"/>
          <w:highlight w:val="none"/>
          <w:shd w:val="clear" w:color="auto" w:fill="FFFFFF"/>
        </w:rPr>
        <w:t>小写金额不一致的，以大写金额为准；</w:t>
      </w:r>
    </w:p>
    <w:p w14:paraId="1574F019">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.3.3</w:t>
      </w:r>
      <w:r>
        <w:rPr>
          <w:rFonts w:hint="eastAsia" w:ascii="宋体" w:hAnsi="宋体" w:cs="宋体"/>
          <w:color w:val="auto"/>
          <w:sz w:val="21"/>
          <w:szCs w:val="21"/>
          <w:highlight w:val="none"/>
          <w:shd w:val="clear" w:color="auto" w:fill="FFFFFF"/>
        </w:rPr>
        <w:t>单价金额小数点或者百分比有明显错位的，以开标一览表的总价为准，并修改单价；</w:t>
      </w:r>
    </w:p>
    <w:p w14:paraId="53783572">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.3.4</w:t>
      </w:r>
      <w:r>
        <w:rPr>
          <w:rFonts w:hint="eastAsia" w:ascii="宋体" w:hAnsi="宋体" w:cs="宋体"/>
          <w:color w:val="auto"/>
          <w:sz w:val="21"/>
          <w:szCs w:val="21"/>
          <w:highlight w:val="none"/>
          <w:shd w:val="clear" w:color="auto" w:fill="FFFFFF"/>
        </w:rPr>
        <w:t>总价金额与按单价汇总金额不一致的，以单价金额计算结果为准。</w:t>
      </w:r>
    </w:p>
    <w:p w14:paraId="52F73666">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.3.5 对不同文字文本投标文件的解释发生异议的，以中文文本为准。</w:t>
      </w:r>
    </w:p>
    <w:p w14:paraId="0483F3C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.3.6 同时出现两种以上不一致的，按照前款规定的顺序修正。修正后的报价按照财政部87号令第五十一条第二款的规定经</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确认后产生约束力，</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不确认的，其投标无效。</w:t>
      </w:r>
    </w:p>
    <w:p w14:paraId="6F2ECCBD">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 资格性检查和符合性检查。</w:t>
      </w:r>
    </w:p>
    <w:p w14:paraId="2CD6F33E">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w:t>
      </w:r>
      <w:r>
        <w:rPr>
          <w:rFonts w:hint="eastAsia" w:ascii="宋体" w:hAnsi="宋体"/>
          <w:color w:val="auto"/>
          <w:szCs w:val="21"/>
          <w:highlight w:val="none"/>
        </w:rPr>
        <w:t>资格性检查。依据法规政策和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文件的规定，在对投标文件详细评估之前，采购人将依据</w:t>
      </w:r>
      <w:r>
        <w:rPr>
          <w:rFonts w:hint="eastAsia" w:ascii="宋体" w:hAnsi="宋体"/>
          <w:color w:val="auto"/>
          <w:szCs w:val="21"/>
          <w:highlight w:val="none"/>
          <w:lang w:eastAsia="zh-CN"/>
        </w:rPr>
        <w:t>供应商</w:t>
      </w:r>
      <w:r>
        <w:rPr>
          <w:rFonts w:hint="eastAsia" w:ascii="宋体" w:hAnsi="宋体"/>
          <w:color w:val="auto"/>
          <w:szCs w:val="21"/>
          <w:highlight w:val="none"/>
        </w:rPr>
        <w:t>提交的投标文件按</w:t>
      </w:r>
      <w:r>
        <w:rPr>
          <w:rFonts w:hint="eastAsia" w:ascii="宋体" w:hAnsi="宋体"/>
          <w:color w:val="auto"/>
          <w:szCs w:val="21"/>
          <w:highlight w:val="none"/>
          <w:lang w:val="en-US" w:eastAsia="zh-CN"/>
        </w:rPr>
        <w:t>采购</w:t>
      </w:r>
      <w:r>
        <w:rPr>
          <w:rFonts w:hint="eastAsia" w:ascii="宋体" w:hAnsi="宋体"/>
          <w:color w:val="auto"/>
          <w:szCs w:val="21"/>
          <w:highlight w:val="none"/>
        </w:rPr>
        <w:t>公告第二项和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文件第三章4.</w:t>
      </w:r>
      <w:r>
        <w:rPr>
          <w:rFonts w:hint="eastAsia" w:ascii="宋体" w:hAnsi="宋体"/>
          <w:color w:val="auto"/>
          <w:szCs w:val="21"/>
          <w:highlight w:val="none"/>
          <w:lang w:eastAsia="zh-CN"/>
        </w:rPr>
        <w:t>供应商</w:t>
      </w:r>
      <w:r>
        <w:rPr>
          <w:rFonts w:hint="eastAsia" w:ascii="宋体" w:hAnsi="宋体"/>
          <w:color w:val="auto"/>
          <w:szCs w:val="21"/>
          <w:highlight w:val="none"/>
        </w:rPr>
        <w:t>应提交的证明文件所述的资格标准对</w:t>
      </w:r>
      <w:r>
        <w:rPr>
          <w:rFonts w:hint="eastAsia" w:ascii="宋体" w:hAnsi="宋体"/>
          <w:color w:val="auto"/>
          <w:szCs w:val="21"/>
          <w:highlight w:val="none"/>
          <w:lang w:eastAsia="zh-CN"/>
        </w:rPr>
        <w:t>供应商</w:t>
      </w:r>
      <w:r>
        <w:rPr>
          <w:rFonts w:hint="eastAsia" w:ascii="宋体" w:hAnsi="宋体"/>
          <w:color w:val="auto"/>
          <w:szCs w:val="21"/>
          <w:highlight w:val="none"/>
        </w:rPr>
        <w:t>进行资格审查,以确定其是否具备投标资格。如果</w:t>
      </w:r>
      <w:r>
        <w:rPr>
          <w:rFonts w:hint="eastAsia" w:ascii="宋体" w:hAnsi="宋体"/>
          <w:color w:val="auto"/>
          <w:szCs w:val="21"/>
          <w:highlight w:val="none"/>
          <w:lang w:eastAsia="zh-CN"/>
        </w:rPr>
        <w:t>供应商</w:t>
      </w:r>
      <w:r>
        <w:rPr>
          <w:rFonts w:hint="eastAsia" w:ascii="宋体" w:hAnsi="宋体"/>
          <w:color w:val="auto"/>
          <w:szCs w:val="21"/>
          <w:highlight w:val="none"/>
        </w:rPr>
        <w:t>不具备投标资格、不满足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文件所规定的资格标准或提供资格证明文件不全,其投标将被作为无效投标。</w:t>
      </w:r>
      <w:r>
        <w:rPr>
          <w:rFonts w:hint="eastAsia" w:ascii="宋体" w:hAnsi="宋体" w:cs="Lucida Sans Unicode"/>
          <w:color w:val="auto"/>
          <w:szCs w:val="21"/>
          <w:highlight w:val="none"/>
        </w:rPr>
        <w:t>在审查过程中，采购人有权要求</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按</w:t>
      </w:r>
      <w:r>
        <w:rPr>
          <w:rFonts w:hint="eastAsia" w:ascii="宋体" w:hAnsi="宋体" w:cs="Lucida Sans Unicode"/>
          <w:color w:val="auto"/>
          <w:szCs w:val="21"/>
          <w:highlight w:val="none"/>
          <w:lang w:val="en-US" w:eastAsia="zh-CN"/>
        </w:rPr>
        <w:t>采购</w:t>
      </w:r>
      <w:r>
        <w:rPr>
          <w:rFonts w:hint="eastAsia" w:ascii="宋体" w:hAnsi="宋体" w:cs="Lucida Sans Unicode"/>
          <w:color w:val="auto"/>
          <w:szCs w:val="21"/>
          <w:highlight w:val="none"/>
        </w:rPr>
        <w:t>文件的规定提供相关资格证明材料的原件以供审查。</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应在规定的时限内提供。</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拒不提供的，或者不能在规定时限内提供的，视为其不具备该资格条件。</w:t>
      </w:r>
    </w:p>
    <w:p w14:paraId="3E1B15CE">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Lucida Sans Unicode"/>
          <w:color w:val="auto"/>
          <w:szCs w:val="21"/>
          <w:highlight w:val="none"/>
        </w:rPr>
      </w:pPr>
      <w:r>
        <w:rPr>
          <w:rFonts w:hint="eastAsia" w:ascii="宋体" w:hAnsi="宋体" w:cs="Lucida Sans Unicode"/>
          <w:color w:val="auto"/>
          <w:szCs w:val="21"/>
          <w:highlight w:val="none"/>
        </w:rPr>
        <w:t>2</w:t>
      </w:r>
      <w:r>
        <w:rPr>
          <w:rFonts w:hint="eastAsia" w:ascii="宋体" w:hAnsi="宋体" w:cs="Lucida Sans Unicode"/>
          <w:color w:val="auto"/>
          <w:szCs w:val="21"/>
          <w:highlight w:val="none"/>
          <w:lang w:val="en-US" w:eastAsia="zh-CN"/>
        </w:rPr>
        <w:t>5</w:t>
      </w:r>
      <w:r>
        <w:rPr>
          <w:rFonts w:hint="eastAsia" w:ascii="宋体" w:hAnsi="宋体" w:cs="Lucida Sans Unicode"/>
          <w:color w:val="auto"/>
          <w:szCs w:val="21"/>
          <w:highlight w:val="none"/>
        </w:rPr>
        <w:t>.4.2 资格审查后合格的</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不足3家的，不得评标。</w:t>
      </w:r>
    </w:p>
    <w:p w14:paraId="1C4C439A">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 符合性检查。依据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将从投标文件的有效性、完整性和对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文件的响应程度进行审查，以确定是否符合对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文件的实质性要求作出响应。对没有实质性响应的投标文件将不进行评估，其投标被作为无效投标。凡有下列情况之一者，投标文件也将被视为未实质性响应</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w:t>
      </w:r>
    </w:p>
    <w:p w14:paraId="5B88FB78">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（1）投标文件未按规定签字、盖章的。</w:t>
      </w:r>
    </w:p>
    <w:p w14:paraId="354D7A91">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（2）</w:t>
      </w:r>
      <w:r>
        <w:rPr>
          <w:rFonts w:hint="eastAsia" w:ascii="宋体" w:hAnsi="宋体"/>
          <w:color w:val="auto"/>
          <w:szCs w:val="21"/>
          <w:highlight w:val="none"/>
          <w:lang w:eastAsia="zh-CN"/>
        </w:rPr>
        <w:t>供应商</w:t>
      </w:r>
      <w:r>
        <w:rPr>
          <w:rFonts w:hint="eastAsia" w:ascii="宋体" w:hAnsi="宋体"/>
          <w:color w:val="auto"/>
          <w:szCs w:val="21"/>
          <w:highlight w:val="none"/>
        </w:rPr>
        <w:t>未能出具有效身份证明，或与身份不符的。</w:t>
      </w:r>
    </w:p>
    <w:p w14:paraId="6C22DEC7">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（3）资格证明文件不全的，或不符合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文件标明的资格要求的。</w:t>
      </w:r>
    </w:p>
    <w:p w14:paraId="7AFDCCF6">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（4）投标</w:t>
      </w:r>
      <w:r>
        <w:rPr>
          <w:rFonts w:hint="eastAsia" w:ascii="宋体" w:hAnsi="宋体"/>
          <w:color w:val="000000" w:themeColor="text1"/>
          <w:szCs w:val="21"/>
          <w:highlight w:val="none"/>
          <w14:textFill>
            <w14:solidFill>
              <w14:schemeClr w14:val="tx1"/>
            </w14:solidFill>
          </w14:textFill>
        </w:rPr>
        <w:t>有效期、</w:t>
      </w:r>
      <w:r>
        <w:rPr>
          <w:rFonts w:hint="eastAsia" w:ascii="宋体" w:hAnsi="宋体"/>
          <w:color w:val="000000" w:themeColor="text1"/>
          <w:szCs w:val="21"/>
          <w:highlight w:val="none"/>
          <w:lang w:val="en-US" w:eastAsia="zh-CN"/>
          <w14:textFill>
            <w14:solidFill>
              <w14:schemeClr w14:val="tx1"/>
            </w14:solidFill>
          </w14:textFill>
        </w:rPr>
        <w:t>合同履行期限</w:t>
      </w:r>
      <w:r>
        <w:rPr>
          <w:rFonts w:hint="eastAsia" w:ascii="宋体" w:hAnsi="宋体"/>
          <w:color w:val="auto"/>
          <w:szCs w:val="21"/>
          <w:highlight w:val="none"/>
        </w:rPr>
        <w:t>、</w:t>
      </w:r>
      <w:r>
        <w:rPr>
          <w:rFonts w:hint="eastAsia" w:ascii="宋体" w:hAnsi="宋体"/>
          <w:color w:val="auto"/>
          <w:szCs w:val="21"/>
          <w:highlight w:val="none"/>
          <w:lang w:eastAsia="zh-CN"/>
        </w:rPr>
        <w:t>质量</w:t>
      </w:r>
      <w:r>
        <w:rPr>
          <w:rFonts w:hint="eastAsia" w:ascii="宋体" w:hAnsi="宋体"/>
          <w:color w:val="auto"/>
          <w:szCs w:val="21"/>
          <w:highlight w:val="none"/>
        </w:rPr>
        <w:t>等</w:t>
      </w:r>
      <w:r>
        <w:rPr>
          <w:rFonts w:hint="eastAsia" w:ascii="宋体" w:hAnsi="宋体"/>
          <w:color w:val="000000" w:themeColor="text1"/>
          <w:szCs w:val="21"/>
          <w:highlight w:val="none"/>
          <w14:textFill>
            <w14:solidFill>
              <w14:schemeClr w14:val="tx1"/>
            </w14:solidFill>
          </w14:textFill>
        </w:rPr>
        <w:t>不</w:t>
      </w:r>
      <w:r>
        <w:rPr>
          <w:rFonts w:hint="eastAsia" w:ascii="宋体" w:hAnsi="宋体"/>
          <w:color w:val="auto"/>
          <w:szCs w:val="21"/>
          <w:highlight w:val="none"/>
        </w:rPr>
        <w:t>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14:paraId="7C8AEB73">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（5）未按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文件提供的格式填列、项目不齐全或内容虚假的。</w:t>
      </w:r>
    </w:p>
    <w:p w14:paraId="01C75F60">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（6）投标文件的实质性内容未使用中文表述，或意思表述不明确，或前后矛盾，或使用计量单位不符合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14:paraId="3820B48E">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（7）投标文件的关键内容字迹模糊、无法辨认,或投标文件中经修正的内容字迹模糊无法辩认，或修改处未按规定签名盖章的。</w:t>
      </w:r>
    </w:p>
    <w:p w14:paraId="1291AE24">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olor w:val="auto"/>
          <w:szCs w:val="21"/>
          <w:highlight w:val="none"/>
        </w:rPr>
        <w:t>（8）投标文件内容未按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文件响应的。</w:t>
      </w:r>
    </w:p>
    <w:p w14:paraId="5D5B2241">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（9）不符合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文件中规定的其它实质性条款。</w:t>
      </w:r>
    </w:p>
    <w:p w14:paraId="5E5672FB">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决定投标的响应性只根据投标文件本身的内容，而不寻求其他的外部证据。</w:t>
      </w:r>
    </w:p>
    <w:p w14:paraId="050B01A5">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.4.4 对资格性检查和符合性检查不合格的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，将</w:t>
      </w:r>
      <w:r>
        <w:rPr>
          <w:rFonts w:hint="eastAsia" w:ascii="宋体" w:hAnsi="宋体" w:cs="宋体"/>
          <w:color w:val="auto"/>
          <w:kern w:val="0"/>
          <w:szCs w:val="21"/>
          <w:highlight w:val="none"/>
          <w:lang w:val="en-US" w:eastAsia="zh-CN"/>
        </w:rPr>
        <w:t>通过评标系统</w:t>
      </w:r>
      <w:r>
        <w:rPr>
          <w:rFonts w:hint="eastAsia" w:ascii="宋体" w:hAnsi="宋体" w:cs="宋体"/>
          <w:color w:val="auto"/>
          <w:kern w:val="0"/>
          <w:szCs w:val="21"/>
          <w:highlight w:val="none"/>
        </w:rPr>
        <w:t>告知其理由。</w:t>
      </w:r>
    </w:p>
    <w:p w14:paraId="71890E78">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5</w:t>
      </w:r>
      <w:r>
        <w:rPr>
          <w:rFonts w:hint="eastAsia" w:ascii="宋体" w:hAnsi="宋体" w:cs="宋体"/>
          <w:color w:val="auto"/>
          <w:sz w:val="21"/>
          <w:szCs w:val="21"/>
          <w:highlight w:val="none"/>
        </w:rPr>
        <w:t>.5 在评审过程中，</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发现</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有下列情形之一的，视为</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串通投标，其投标无效：</w:t>
      </w:r>
    </w:p>
    <w:p w14:paraId="756F9978">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.5.1不同</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的投标文件异常一致。</w:t>
      </w:r>
    </w:p>
    <w:p w14:paraId="32E97321">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.5.2不同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的投标文件由同一单位或者个人编制；</w:t>
      </w:r>
    </w:p>
    <w:p w14:paraId="2EFA9678">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.5.3不同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委托同一单位或者个人办理投标事宜；</w:t>
      </w:r>
    </w:p>
    <w:p w14:paraId="41B4407A">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.5.4不同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的投标文件载明的项目管理成员或者联系人员为同一人；　　</w:t>
      </w:r>
    </w:p>
    <w:p w14:paraId="704A5E6A">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.5.5不同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的投标文件相互混装；</w:t>
      </w:r>
    </w:p>
    <w:p w14:paraId="5FE335BC">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.5.6不同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的投标保证金从同一单位或者个人的账户转出（若收取）。</w:t>
      </w:r>
    </w:p>
    <w:p w14:paraId="4FBFD044">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.5.7 有证据证明</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串通投标的其他情形的；</w:t>
      </w:r>
    </w:p>
    <w:p w14:paraId="034696DC">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.5.8 不同</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的投标文件制作机器码一致；</w:t>
      </w:r>
    </w:p>
    <w:p w14:paraId="62058E77">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 xml:space="preserve">.5.9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认定的其他串通投标情形。</w:t>
      </w:r>
    </w:p>
    <w:p w14:paraId="0CA5055D">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6</w:t>
      </w:r>
      <w:r>
        <w:rPr>
          <w:rFonts w:hint="eastAsia" w:ascii="宋体" w:hAnsi="宋体" w:cs="宋体"/>
          <w:b/>
          <w:bCs/>
          <w:color w:val="auto"/>
          <w:kern w:val="0"/>
          <w:szCs w:val="21"/>
          <w:highlight w:val="none"/>
        </w:rPr>
        <w:t>. 投标文件的澄清</w:t>
      </w:r>
    </w:p>
    <w:p w14:paraId="63097986">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对投标文件中含义不明确、同类问题表述不一致或者有明显文字和计算错误的内容，</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可以书面形式要求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作出必要的澄清。</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的澄清应当在</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规定的时间内以书面形式作出，由其</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代表签字。但澄清事项不得超出投标文件的范围，不得实质性改变投标文件的内容，不得通过澄清等方式对</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实行差别对待。</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不得接受</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主动提出的澄清和解释。</w:t>
      </w:r>
    </w:p>
    <w:p w14:paraId="79B90E3A">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7</w:t>
      </w:r>
      <w:r>
        <w:rPr>
          <w:rFonts w:hint="eastAsia" w:ascii="宋体" w:hAnsi="宋体" w:cs="宋体"/>
          <w:b/>
          <w:bCs/>
          <w:color w:val="auto"/>
          <w:kern w:val="0"/>
          <w:szCs w:val="21"/>
          <w:highlight w:val="none"/>
        </w:rPr>
        <w:t>. 比较与评价</w:t>
      </w:r>
    </w:p>
    <w:p w14:paraId="10A177E7">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 xml:space="preserve">.1 </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将按本</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文件规定的评标方法与标准，对资格性检查和符合性检查合格的投标文件进行商务和技术评估，综合比较与评价。</w:t>
      </w:r>
    </w:p>
    <w:p w14:paraId="44EA9CAC">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.2对漏（缺）报项的处理：</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文件中要求列入报价的费用（含配置、功能），漏（缺）报的视同已含在投标总价中。</w:t>
      </w:r>
    </w:p>
    <w:p w14:paraId="088C1550">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b/>
          <w:bCs/>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.3</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认为</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的报价明显低于其他通过符合性审查</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的报价，有可能影响产品质量或者不能诚信履约的，应当要求其在评标现场合理的时间内提供书面说明，必要时提交相关证明材料；</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不能证明其报价合理性的，</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应当将其作为无效投标处理。</w:t>
      </w:r>
    </w:p>
    <w:p w14:paraId="096AF359">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8</w:t>
      </w:r>
      <w:r>
        <w:rPr>
          <w:rFonts w:hint="eastAsia" w:ascii="宋体" w:hAnsi="宋体" w:cs="宋体"/>
          <w:b/>
          <w:bCs/>
          <w:color w:val="auto"/>
          <w:kern w:val="0"/>
          <w:szCs w:val="21"/>
          <w:highlight w:val="none"/>
        </w:rPr>
        <w:t>. 评标过程及保密原则</w:t>
      </w:r>
    </w:p>
    <w:p w14:paraId="46DA9E0D">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.1 凡与本次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有关人员对属于审查、澄清、评价和比较投标的有关资料以及定标意向等，均不得向</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或其他人员透露。否则,将按有关规定追究相关人员的责任。</w:t>
      </w:r>
    </w:p>
    <w:p w14:paraId="5B08A407">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.2 在评标期间，</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试图影响或干预评审的任何行为，将导致其投标被作为无效投标，并承担相应的法律责任。</w:t>
      </w:r>
    </w:p>
    <w:p w14:paraId="183AF2A9">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29</w:t>
      </w:r>
      <w:r>
        <w:rPr>
          <w:rFonts w:hint="eastAsia" w:ascii="宋体" w:hAnsi="宋体" w:cs="宋体"/>
          <w:b/>
          <w:color w:val="auto"/>
          <w:kern w:val="0"/>
          <w:szCs w:val="21"/>
          <w:highlight w:val="none"/>
        </w:rPr>
        <w:t>.评标异议登记</w:t>
      </w:r>
    </w:p>
    <w:p w14:paraId="00FF356B">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工作人员对评审专家等相关人员在评审过程中发现、提出的异议进行逐项登记。</w:t>
      </w:r>
    </w:p>
    <w:p w14:paraId="12E809F4">
      <w:pPr>
        <w:keepNext w:val="0"/>
        <w:keepLines w:val="0"/>
        <w:pageBreakBefore w:val="0"/>
        <w:widowControl/>
        <w:kinsoku/>
        <w:wordWrap/>
        <w:overflowPunct/>
        <w:topLinePunct w:val="0"/>
        <w:bidi w:val="0"/>
        <w:snapToGrid w:val="0"/>
        <w:spacing w:line="360" w:lineRule="auto"/>
        <w:ind w:firstLine="3050"/>
        <w:jc w:val="left"/>
        <w:outlineLvl w:val="1"/>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六</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定标</w:t>
      </w:r>
    </w:p>
    <w:p w14:paraId="2A3A961A">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0</w:t>
      </w:r>
      <w:r>
        <w:rPr>
          <w:rFonts w:hint="eastAsia" w:ascii="宋体" w:hAnsi="宋体" w:cs="宋体"/>
          <w:b/>
          <w:bCs/>
          <w:color w:val="auto"/>
          <w:kern w:val="0"/>
          <w:szCs w:val="21"/>
          <w:highlight w:val="none"/>
        </w:rPr>
        <w:t>. 定标原则</w:t>
      </w:r>
    </w:p>
    <w:p w14:paraId="0A64C7EA">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.1 最低投标价不作为中标的保证。</w:t>
      </w:r>
    </w:p>
    <w:p w14:paraId="2E6181ED">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 确定实质上响应</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文件且满足下列条件的为</w:t>
      </w:r>
      <w:r>
        <w:rPr>
          <w:rFonts w:hint="eastAsia" w:ascii="宋体" w:hAnsi="宋体" w:cs="宋体"/>
          <w:bCs/>
          <w:color w:val="auto"/>
          <w:kern w:val="0"/>
          <w:szCs w:val="21"/>
          <w:highlight w:val="none"/>
          <w:lang w:eastAsia="zh-CN"/>
        </w:rPr>
        <w:t>成交候选人</w:t>
      </w:r>
      <w:r>
        <w:rPr>
          <w:rFonts w:hint="eastAsia" w:ascii="宋体" w:hAnsi="宋体" w:cs="宋体"/>
          <w:bCs/>
          <w:color w:val="auto"/>
          <w:kern w:val="0"/>
          <w:szCs w:val="21"/>
          <w:highlight w:val="none"/>
        </w:rPr>
        <w:t>（或</w:t>
      </w:r>
      <w:r>
        <w:rPr>
          <w:rFonts w:hint="eastAsia" w:ascii="宋体" w:hAnsi="宋体" w:cs="宋体"/>
          <w:bCs/>
          <w:color w:val="auto"/>
          <w:kern w:val="0"/>
          <w:szCs w:val="21"/>
          <w:highlight w:val="none"/>
          <w:lang w:eastAsia="zh-CN"/>
        </w:rPr>
        <w:t>成交人</w:t>
      </w:r>
      <w:r>
        <w:rPr>
          <w:rFonts w:hint="eastAsia" w:ascii="宋体" w:hAnsi="宋体" w:cs="宋体"/>
          <w:bCs/>
          <w:color w:val="auto"/>
          <w:kern w:val="0"/>
          <w:szCs w:val="21"/>
          <w:highlight w:val="none"/>
        </w:rPr>
        <w:t>）</w:t>
      </w:r>
    </w:p>
    <w:p w14:paraId="0CC4DFBC">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bookmarkStart w:id="39" w:name="_Toc32200"/>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.2.1</w:t>
      </w:r>
      <w:bookmarkEnd w:id="39"/>
      <w:r>
        <w:rPr>
          <w:rFonts w:hint="eastAsia" w:ascii="宋体" w:hAnsi="宋体" w:cs="宋体"/>
          <w:bCs/>
          <w:color w:val="auto"/>
          <w:kern w:val="0"/>
          <w:szCs w:val="21"/>
          <w:highlight w:val="none"/>
        </w:rPr>
        <w:t>本次评标采用</w:t>
      </w:r>
      <w:r>
        <w:rPr>
          <w:rFonts w:hint="eastAsia" w:ascii="宋体" w:hAnsi="宋体" w:cs="宋体"/>
          <w:color w:val="auto"/>
          <w:szCs w:val="21"/>
          <w:highlight w:val="none"/>
        </w:rPr>
        <w:t>综合评分法，是指响应文件满足采购文件全部实质性要求，且按照评审因素的量化指标评审得分最高的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为</w:t>
      </w:r>
      <w:r>
        <w:rPr>
          <w:rFonts w:hint="eastAsia" w:ascii="宋体" w:hAnsi="宋体" w:cs="宋体"/>
          <w:color w:val="auto"/>
          <w:szCs w:val="21"/>
          <w:highlight w:val="none"/>
          <w:lang w:eastAsia="zh-CN"/>
        </w:rPr>
        <w:t>成交候选人</w:t>
      </w:r>
      <w:r>
        <w:rPr>
          <w:rFonts w:hint="eastAsia" w:ascii="宋体" w:hAnsi="宋体" w:cs="宋体"/>
          <w:color w:val="auto"/>
          <w:szCs w:val="21"/>
          <w:highlight w:val="none"/>
        </w:rPr>
        <w:t>的评标方法。</w:t>
      </w:r>
    </w:p>
    <w:p w14:paraId="6C02DB1F">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采用综合评分法的，评标结果按评审后得分由高到低顺序排列。投标文件满足</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文件全部实质性要求，且按照评审因素的量化指标评审得分最高的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为排名第一的</w:t>
      </w:r>
      <w:r>
        <w:rPr>
          <w:rFonts w:hint="eastAsia" w:ascii="宋体" w:hAnsi="宋体" w:cs="宋体"/>
          <w:color w:val="auto"/>
          <w:szCs w:val="21"/>
          <w:highlight w:val="none"/>
          <w:lang w:eastAsia="zh-CN"/>
        </w:rPr>
        <w:t>成交候选人</w:t>
      </w:r>
      <w:r>
        <w:rPr>
          <w:rFonts w:hint="eastAsia" w:ascii="宋体" w:hAnsi="宋体" w:cs="宋体"/>
          <w:color w:val="auto"/>
          <w:szCs w:val="21"/>
          <w:highlight w:val="none"/>
        </w:rPr>
        <w:t>，以此类推。得分相同的，按投标报价由低到高顺序排列。得分且投标报价相同的，按技术部分得分顺序排列。得分与技术指标优劣均相同的，通过随机抽取产生。</w:t>
      </w:r>
    </w:p>
    <w:p w14:paraId="5BC63814">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color w:val="auto"/>
          <w:kern w:val="0"/>
          <w:szCs w:val="21"/>
          <w:highlight w:val="none"/>
          <w:lang w:eastAsia="zh-CN"/>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1</w:t>
      </w:r>
      <w:r>
        <w:rPr>
          <w:rFonts w:hint="eastAsia" w:ascii="宋体" w:hAnsi="宋体" w:cs="宋体"/>
          <w:b/>
          <w:bCs/>
          <w:color w:val="auto"/>
          <w:kern w:val="0"/>
          <w:szCs w:val="21"/>
          <w:highlight w:val="none"/>
        </w:rPr>
        <w:t>. 确定</w:t>
      </w:r>
      <w:r>
        <w:rPr>
          <w:rFonts w:hint="eastAsia" w:ascii="宋体" w:hAnsi="宋体" w:cs="宋体"/>
          <w:b/>
          <w:bCs/>
          <w:color w:val="auto"/>
          <w:kern w:val="0"/>
          <w:szCs w:val="21"/>
          <w:highlight w:val="none"/>
          <w:lang w:eastAsia="zh-CN"/>
        </w:rPr>
        <w:t>成交人</w:t>
      </w:r>
      <w:r>
        <w:rPr>
          <w:rFonts w:hint="eastAsia" w:ascii="宋体" w:hAnsi="宋体" w:cs="宋体"/>
          <w:b/>
          <w:bCs/>
          <w:color w:val="auto"/>
          <w:kern w:val="0"/>
          <w:szCs w:val="21"/>
          <w:highlight w:val="none"/>
        </w:rPr>
        <w:t>和</w:t>
      </w:r>
      <w:r>
        <w:rPr>
          <w:rFonts w:hint="eastAsia" w:ascii="宋体" w:hAnsi="宋体" w:cs="宋体"/>
          <w:b/>
          <w:bCs/>
          <w:color w:val="auto"/>
          <w:kern w:val="0"/>
          <w:szCs w:val="21"/>
          <w:highlight w:val="none"/>
          <w:lang w:eastAsia="zh-CN"/>
        </w:rPr>
        <w:t>成交候选人</w:t>
      </w:r>
    </w:p>
    <w:p w14:paraId="4CB48B5C">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bCs/>
          <w:color w:val="auto"/>
          <w:kern w:val="0"/>
          <w:szCs w:val="21"/>
          <w:highlight w:val="none"/>
        </w:rPr>
        <w:t>本项目由采购人授权</w:t>
      </w:r>
      <w:r>
        <w:rPr>
          <w:rFonts w:hint="eastAsia" w:ascii="宋体" w:hAnsi="宋体" w:cs="宋体"/>
          <w:bCs/>
          <w:color w:val="auto"/>
          <w:kern w:val="0"/>
          <w:szCs w:val="21"/>
          <w:highlight w:val="none"/>
          <w:lang w:eastAsia="zh-CN"/>
        </w:rPr>
        <w:t>磋商小组</w:t>
      </w:r>
      <w:r>
        <w:rPr>
          <w:rFonts w:hint="eastAsia" w:ascii="宋体" w:hAnsi="宋体" w:cs="宋体"/>
          <w:bCs/>
          <w:color w:val="auto"/>
          <w:kern w:val="0"/>
          <w:szCs w:val="21"/>
          <w:highlight w:val="none"/>
        </w:rPr>
        <w:t>确定一名</w:t>
      </w:r>
      <w:r>
        <w:rPr>
          <w:rFonts w:hint="eastAsia" w:ascii="宋体" w:hAnsi="宋体" w:cs="宋体"/>
          <w:bCs/>
          <w:color w:val="auto"/>
          <w:kern w:val="0"/>
          <w:szCs w:val="21"/>
          <w:highlight w:val="none"/>
          <w:lang w:eastAsia="zh-CN"/>
        </w:rPr>
        <w:t>成交人</w:t>
      </w:r>
      <w:r>
        <w:rPr>
          <w:rFonts w:hint="eastAsia" w:ascii="宋体" w:hAnsi="宋体" w:cs="宋体"/>
          <w:bCs/>
          <w:color w:val="auto"/>
          <w:kern w:val="0"/>
          <w:szCs w:val="21"/>
          <w:highlight w:val="none"/>
        </w:rPr>
        <w:t>并推荐</w:t>
      </w:r>
      <w:r>
        <w:rPr>
          <w:rFonts w:hint="eastAsia" w:ascii="宋体" w:hAnsi="宋体" w:cs="宋体"/>
          <w:bCs/>
          <w:color w:val="auto"/>
          <w:kern w:val="0"/>
          <w:szCs w:val="21"/>
          <w:highlight w:val="none"/>
          <w:lang w:val="en-US" w:eastAsia="zh-CN"/>
        </w:rPr>
        <w:t>一</w:t>
      </w:r>
      <w:r>
        <w:rPr>
          <w:rFonts w:hint="eastAsia" w:ascii="宋体" w:hAnsi="宋体" w:cs="宋体"/>
          <w:bCs/>
          <w:color w:val="auto"/>
          <w:kern w:val="0"/>
          <w:szCs w:val="21"/>
          <w:highlight w:val="none"/>
        </w:rPr>
        <w:t>名</w:t>
      </w:r>
      <w:r>
        <w:rPr>
          <w:rFonts w:hint="eastAsia" w:ascii="宋体" w:hAnsi="宋体" w:cs="宋体"/>
          <w:bCs/>
          <w:color w:val="auto"/>
          <w:kern w:val="0"/>
          <w:szCs w:val="21"/>
          <w:highlight w:val="none"/>
          <w:lang w:eastAsia="zh-CN"/>
        </w:rPr>
        <w:t>成交候选人</w:t>
      </w:r>
      <w:r>
        <w:rPr>
          <w:rFonts w:hint="eastAsia" w:ascii="宋体" w:hAnsi="宋体" w:cs="宋体"/>
          <w:color w:val="auto"/>
          <w:kern w:val="0"/>
          <w:szCs w:val="21"/>
          <w:highlight w:val="none"/>
        </w:rPr>
        <w:t>。</w:t>
      </w:r>
    </w:p>
    <w:p w14:paraId="62AC6307">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2</w:t>
      </w:r>
      <w:r>
        <w:rPr>
          <w:rFonts w:hint="eastAsia" w:ascii="宋体" w:hAnsi="宋体" w:cs="宋体"/>
          <w:b/>
          <w:bCs/>
          <w:color w:val="auto"/>
          <w:kern w:val="0"/>
          <w:szCs w:val="21"/>
          <w:highlight w:val="none"/>
        </w:rPr>
        <w:t xml:space="preserve">. </w:t>
      </w:r>
      <w:r>
        <w:rPr>
          <w:rFonts w:hint="eastAsia" w:ascii="宋体" w:hAnsi="宋体" w:cs="宋体"/>
          <w:b/>
          <w:bCs/>
          <w:color w:val="auto"/>
          <w:kern w:val="0"/>
          <w:szCs w:val="21"/>
          <w:highlight w:val="none"/>
          <w:lang w:eastAsia="zh-CN"/>
        </w:rPr>
        <w:t>成交通知书</w:t>
      </w:r>
      <w:r>
        <w:rPr>
          <w:rFonts w:hint="eastAsia" w:ascii="宋体" w:hAnsi="宋体" w:cs="宋体"/>
          <w:b/>
          <w:bCs/>
          <w:color w:val="auto"/>
          <w:kern w:val="0"/>
          <w:szCs w:val="21"/>
          <w:highlight w:val="none"/>
        </w:rPr>
        <w:t>及中标公告</w:t>
      </w:r>
    </w:p>
    <w:p w14:paraId="5D36ED72">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.1评审结束后，</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人将</w:t>
      </w:r>
      <w:r>
        <w:rPr>
          <w:rFonts w:hint="eastAsia" w:ascii="宋体" w:hAnsi="宋体" w:cs="宋体"/>
          <w:color w:val="auto"/>
          <w:kern w:val="0"/>
          <w:szCs w:val="21"/>
          <w:highlight w:val="none"/>
          <w:lang w:eastAsia="zh-CN"/>
        </w:rPr>
        <w:t>成交候选人</w:t>
      </w:r>
      <w:r>
        <w:rPr>
          <w:rFonts w:hint="eastAsia" w:ascii="宋体" w:hAnsi="宋体" w:cs="宋体"/>
          <w:color w:val="auto"/>
          <w:kern w:val="0"/>
          <w:szCs w:val="21"/>
          <w:highlight w:val="none"/>
        </w:rPr>
        <w:t>的情况在本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项目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公告发布的同一媒介予以公示，公示</w:t>
      </w:r>
      <w:r>
        <w:rPr>
          <w:rFonts w:hint="eastAsia" w:ascii="宋体" w:hAnsi="宋体" w:cs="宋体"/>
          <w:color w:val="auto"/>
          <w:kern w:val="0"/>
          <w:szCs w:val="21"/>
          <w:highlight w:val="none"/>
          <w:lang w:eastAsia="zh-CN"/>
        </w:rPr>
        <w:t>期限</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lang w:eastAsia="zh-CN"/>
        </w:rPr>
        <w:t>个工作日</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发出</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w:t>
      </w:r>
    </w:p>
    <w:p w14:paraId="313F4E7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在规定的时间内不领取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的，视为中标后自动放弃中标资格；</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在有效报价中报价最低,非不可抗力放弃中标资格的。发生上述情况的承担由此引起的一切后果。</w:t>
      </w:r>
    </w:p>
    <w:p w14:paraId="1DFAC731">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对采购人和</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具有同等法律效力。</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发出后，采购人改变中标结果，或者</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放弃中标，应按相关法律、规章、规范性文件的要求承担相应的法律责任。</w:t>
      </w:r>
    </w:p>
    <w:p w14:paraId="513CFBD6">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bCs/>
          <w:color w:val="auto"/>
          <w:kern w:val="0"/>
          <w:szCs w:val="21"/>
          <w:highlight w:val="none"/>
        </w:rPr>
        <w:t>.4</w:t>
      </w:r>
      <w:r>
        <w:rPr>
          <w:rFonts w:hint="eastAsia" w:ascii="宋体" w:hAnsi="宋体" w:cs="宋体"/>
          <w:bCs/>
          <w:color w:val="auto"/>
          <w:kern w:val="0"/>
          <w:szCs w:val="21"/>
          <w:highlight w:val="none"/>
          <w:lang w:eastAsia="zh-CN"/>
        </w:rPr>
        <w:t>成交通知书</w:t>
      </w:r>
      <w:r>
        <w:rPr>
          <w:rFonts w:hint="eastAsia" w:ascii="宋体" w:hAnsi="宋体" w:cs="宋体"/>
          <w:bCs/>
          <w:color w:val="auto"/>
          <w:kern w:val="0"/>
          <w:szCs w:val="21"/>
          <w:highlight w:val="none"/>
        </w:rPr>
        <w:t>将作为签订合同的依据。合同签订后，</w:t>
      </w:r>
      <w:r>
        <w:rPr>
          <w:rFonts w:hint="eastAsia" w:ascii="宋体" w:hAnsi="宋体" w:cs="宋体"/>
          <w:bCs/>
          <w:color w:val="auto"/>
          <w:kern w:val="0"/>
          <w:szCs w:val="21"/>
          <w:highlight w:val="none"/>
          <w:lang w:eastAsia="zh-CN"/>
        </w:rPr>
        <w:t>成交通知书</w:t>
      </w:r>
      <w:r>
        <w:rPr>
          <w:rFonts w:hint="eastAsia" w:ascii="宋体" w:hAnsi="宋体" w:cs="宋体"/>
          <w:bCs/>
          <w:color w:val="auto"/>
          <w:kern w:val="0"/>
          <w:szCs w:val="21"/>
          <w:highlight w:val="none"/>
        </w:rPr>
        <w:t>成为合同的一部分。</w:t>
      </w:r>
    </w:p>
    <w:p w14:paraId="119E94F6">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3</w:t>
      </w:r>
      <w:r>
        <w:rPr>
          <w:rFonts w:hint="eastAsia" w:ascii="宋体" w:hAnsi="宋体" w:cs="宋体"/>
          <w:b/>
          <w:bCs/>
          <w:color w:val="auto"/>
          <w:kern w:val="0"/>
          <w:szCs w:val="21"/>
          <w:highlight w:val="none"/>
        </w:rPr>
        <w:t>. 采购人宣布废标的权利</w:t>
      </w:r>
    </w:p>
    <w:p w14:paraId="1A61A96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.1出现下列情况之一时，采购人有权宣布废标，并将理由通知所有</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w:t>
      </w:r>
    </w:p>
    <w:p w14:paraId="2D52351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.1.1出现影响采购公正的违法、违规行为的。</w:t>
      </w:r>
    </w:p>
    <w:p w14:paraId="0443AEE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.1.2</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的报价均超过了</w:t>
      </w:r>
      <w:r>
        <w:rPr>
          <w:rFonts w:hint="eastAsia" w:ascii="宋体" w:hAnsi="宋体" w:cs="宋体"/>
          <w:bCs/>
          <w:color w:val="auto"/>
          <w:kern w:val="0"/>
          <w:szCs w:val="21"/>
          <w:highlight w:val="none"/>
          <w:lang w:val="en-US" w:eastAsia="zh-CN"/>
        </w:rPr>
        <w:t>采购预算金额</w:t>
      </w:r>
      <w:r>
        <w:rPr>
          <w:rFonts w:hint="eastAsia" w:ascii="宋体" w:hAnsi="宋体" w:cs="宋体"/>
          <w:bCs/>
          <w:color w:val="auto"/>
          <w:kern w:val="0"/>
          <w:szCs w:val="21"/>
          <w:highlight w:val="none"/>
        </w:rPr>
        <w:t>，采购人不能支付的。</w:t>
      </w:r>
    </w:p>
    <w:p w14:paraId="072B749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.1.3因重大变故，采购任务取消的。</w:t>
      </w:r>
    </w:p>
    <w:p w14:paraId="5A67837F">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color w:val="auto"/>
          <w:kern w:val="0"/>
          <w:szCs w:val="21"/>
          <w:highlight w:val="none"/>
        </w:rPr>
        <w:t xml:space="preserve">.2 </w:t>
      </w:r>
      <w:r>
        <w:rPr>
          <w:rFonts w:hint="eastAsia" w:ascii="宋体" w:hAnsi="宋体" w:cs="宋体"/>
          <w:color w:val="auto"/>
          <w:szCs w:val="21"/>
          <w:highlight w:val="none"/>
        </w:rPr>
        <w:t>投标截止后</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不足3家或通过资格性检查或符合性检查的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不足3家的，除采购任务取消情形外，按照以下方式处理：</w:t>
      </w:r>
    </w:p>
    <w:p w14:paraId="0EF9DDA2">
      <w:pPr>
        <w:keepNext w:val="0"/>
        <w:keepLines w:val="0"/>
        <w:pageBreakBefore w:val="0"/>
        <w:numPr>
          <w:ilvl w:val="0"/>
          <w:numId w:val="2"/>
        </w:numPr>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文件存在不合理条款或者招标程序不符合规定的，采购人正后依法重新招标；　</w:t>
      </w:r>
    </w:p>
    <w:p w14:paraId="5710EF82">
      <w:pPr>
        <w:keepNext w:val="0"/>
        <w:keepLines w:val="0"/>
        <w:pageBreakBefore w:val="0"/>
        <w:kinsoku/>
        <w:wordWrap/>
        <w:overflowPunct/>
        <w:topLinePunct w:val="0"/>
        <w:bidi w:val="0"/>
        <w:snapToGrid w:val="0"/>
        <w:spacing w:line="360" w:lineRule="auto"/>
        <w:ind w:firstLine="420" w:firstLineChars="200"/>
        <w:rPr>
          <w:rFonts w:ascii="宋体" w:hAnsi="宋体" w:cs="宋体"/>
          <w:b/>
          <w:color w:val="auto"/>
          <w:kern w:val="0"/>
          <w:sz w:val="52"/>
          <w:szCs w:val="52"/>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文件没有不合理条款、招标程序符合规定，需要采用其他采购方式采购的，采购人应当依法报财政部门批准。</w:t>
      </w:r>
    </w:p>
    <w:p w14:paraId="1515224B">
      <w:pPr>
        <w:keepNext w:val="0"/>
        <w:keepLines w:val="0"/>
        <w:pageBreakBefore w:val="0"/>
        <w:widowControl/>
        <w:kinsoku/>
        <w:wordWrap/>
        <w:overflowPunct/>
        <w:topLinePunct w:val="0"/>
        <w:bidi w:val="0"/>
        <w:snapToGrid w:val="0"/>
        <w:spacing w:line="360" w:lineRule="auto"/>
        <w:ind w:firstLine="2570" w:firstLineChars="800"/>
        <w:jc w:val="left"/>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七</w:t>
      </w:r>
      <w:r>
        <w:rPr>
          <w:rFonts w:hint="eastAsia" w:ascii="黑体" w:hAnsi="宋体" w:eastAsia="黑体" w:cs="宋体"/>
          <w:b/>
          <w:bCs/>
          <w:color w:val="auto"/>
          <w:kern w:val="0"/>
          <w:sz w:val="32"/>
          <w:szCs w:val="32"/>
          <w:highlight w:val="none"/>
        </w:rPr>
        <w:t>、合同授予</w:t>
      </w:r>
    </w:p>
    <w:p w14:paraId="1B7E56DA">
      <w:pPr>
        <w:keepNext w:val="0"/>
        <w:keepLines w:val="0"/>
        <w:pageBreakBefore w:val="0"/>
        <w:widowControl/>
        <w:kinsoku/>
        <w:wordWrap/>
        <w:overflowPunct/>
        <w:topLinePunct w:val="0"/>
        <w:bidi w:val="0"/>
        <w:snapToGrid w:val="0"/>
        <w:spacing w:line="360" w:lineRule="auto"/>
        <w:ind w:firstLine="472" w:firstLineChars="224"/>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.合同签订</w:t>
      </w:r>
    </w:p>
    <w:p w14:paraId="2587076D">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u w:val="single"/>
        </w:rPr>
      </w:pPr>
      <w:bookmarkStart w:id="40" w:name="_Toc8594"/>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采购人、</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自</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发出之日起，在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文件第三章《</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须知前附表》规定的时间内，根据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文件确定的事项和</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投标文件签订合同。双方所签订的合同不得对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文件和</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投标文件作实质性修改。</w:t>
      </w:r>
    </w:p>
    <w:p w14:paraId="0513EEBC">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文件的修改文件、</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的投标文件、补充或修改的文件及澄清或承诺文件等，均为双方签订合同的组成部分，并与合同一并作为本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文件所列采购项目的互补性法律文件，与合同具有同等法律效力。</w:t>
      </w:r>
    </w:p>
    <w:p w14:paraId="2D0B5392">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.3 </w:t>
      </w:r>
      <w:r>
        <w:rPr>
          <w:rFonts w:hint="eastAsia" w:ascii="宋体" w:hAnsi="宋体" w:cs="宋体"/>
          <w:color w:val="auto"/>
          <w:kern w:val="0"/>
          <w:szCs w:val="21"/>
          <w:highlight w:val="none"/>
          <w:lang w:eastAsia="zh-CN"/>
        </w:rPr>
        <w:t>成交人</w:t>
      </w:r>
      <w:r>
        <w:rPr>
          <w:rFonts w:hint="eastAsia" w:cs="宋体"/>
          <w:color w:val="auto"/>
          <w:kern w:val="0"/>
          <w:szCs w:val="21"/>
          <w:highlight w:val="none"/>
        </w:rPr>
        <w:t>放弃中标、因不可抗力不能履行合同、不按照</w:t>
      </w:r>
      <w:r>
        <w:rPr>
          <w:rFonts w:hint="eastAsia" w:cs="宋体"/>
          <w:color w:val="auto"/>
          <w:kern w:val="0"/>
          <w:szCs w:val="21"/>
          <w:highlight w:val="none"/>
          <w:lang w:val="en-US" w:eastAsia="zh-CN"/>
        </w:rPr>
        <w:t>采购</w:t>
      </w:r>
      <w:r>
        <w:rPr>
          <w:rFonts w:hint="eastAsia" w:cs="宋体"/>
          <w:color w:val="auto"/>
          <w:kern w:val="0"/>
          <w:szCs w:val="21"/>
          <w:highlight w:val="none"/>
        </w:rPr>
        <w:t>文件要求提交履约保证金，或者被查实存在影响中标结果的违法行为等情形，不符合中标条件的，</w:t>
      </w:r>
      <w:r>
        <w:rPr>
          <w:rFonts w:hint="eastAsia" w:ascii="宋体" w:hAnsi="宋体" w:cs="宋体"/>
          <w:color w:val="auto"/>
          <w:kern w:val="0"/>
          <w:szCs w:val="21"/>
          <w:highlight w:val="none"/>
        </w:rPr>
        <w:t>采购人可以</w:t>
      </w:r>
      <w:r>
        <w:rPr>
          <w:rFonts w:hint="eastAsia" w:cs="宋体"/>
          <w:color w:val="auto"/>
          <w:kern w:val="0"/>
          <w:szCs w:val="21"/>
          <w:highlight w:val="none"/>
        </w:rPr>
        <w:t>按照</w:t>
      </w:r>
      <w:r>
        <w:rPr>
          <w:rFonts w:hint="eastAsia" w:cs="宋体"/>
          <w:color w:val="auto"/>
          <w:kern w:val="0"/>
          <w:szCs w:val="21"/>
          <w:highlight w:val="none"/>
          <w:lang w:eastAsia="zh-CN"/>
        </w:rPr>
        <w:t>磋商小组</w:t>
      </w:r>
      <w:r>
        <w:rPr>
          <w:rFonts w:hint="eastAsia" w:cs="宋体"/>
          <w:color w:val="auto"/>
          <w:kern w:val="0"/>
          <w:szCs w:val="21"/>
          <w:highlight w:val="none"/>
        </w:rPr>
        <w:t>提出的</w:t>
      </w:r>
      <w:r>
        <w:rPr>
          <w:rFonts w:hint="eastAsia" w:cs="宋体"/>
          <w:color w:val="auto"/>
          <w:kern w:val="0"/>
          <w:szCs w:val="21"/>
          <w:highlight w:val="none"/>
          <w:lang w:eastAsia="zh-CN"/>
        </w:rPr>
        <w:t>成交候选人</w:t>
      </w:r>
      <w:r>
        <w:rPr>
          <w:rFonts w:hint="eastAsia" w:cs="宋体"/>
          <w:color w:val="auto"/>
          <w:kern w:val="0"/>
          <w:szCs w:val="21"/>
          <w:highlight w:val="none"/>
        </w:rPr>
        <w:t>名单排序依次确定其他</w:t>
      </w:r>
      <w:r>
        <w:rPr>
          <w:rFonts w:hint="eastAsia" w:cs="宋体"/>
          <w:color w:val="auto"/>
          <w:kern w:val="0"/>
          <w:szCs w:val="21"/>
          <w:highlight w:val="none"/>
          <w:lang w:eastAsia="zh-CN"/>
        </w:rPr>
        <w:t>成交候选人</w:t>
      </w:r>
      <w:r>
        <w:rPr>
          <w:rFonts w:hint="eastAsia" w:cs="宋体"/>
          <w:color w:val="auto"/>
          <w:kern w:val="0"/>
          <w:szCs w:val="21"/>
          <w:highlight w:val="none"/>
        </w:rPr>
        <w:t>为</w:t>
      </w:r>
      <w:r>
        <w:rPr>
          <w:rFonts w:hint="eastAsia" w:cs="宋体"/>
          <w:color w:val="auto"/>
          <w:kern w:val="0"/>
          <w:szCs w:val="21"/>
          <w:highlight w:val="none"/>
          <w:lang w:eastAsia="zh-CN"/>
        </w:rPr>
        <w:t>成交人</w:t>
      </w:r>
      <w:r>
        <w:rPr>
          <w:rFonts w:hint="eastAsia" w:cs="宋体"/>
          <w:color w:val="auto"/>
          <w:kern w:val="0"/>
          <w:szCs w:val="21"/>
          <w:highlight w:val="none"/>
        </w:rPr>
        <w:t>，也可以重新招标。</w:t>
      </w:r>
    </w:p>
    <w:bookmarkEnd w:id="40"/>
    <w:p w14:paraId="4039B798">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ascii="宋体" w:hAnsi="宋体" w:cs="宋体"/>
          <w:color w:val="auto"/>
          <w:kern w:val="0"/>
          <w:sz w:val="24"/>
          <w:highlight w:val="none"/>
        </w:rPr>
      </w:pPr>
      <w:bookmarkStart w:id="41" w:name="_Toc16473"/>
      <w:bookmarkStart w:id="42" w:name="_Toc4700"/>
      <w:bookmarkStart w:id="43" w:name="_Toc16669"/>
      <w:r>
        <w:rPr>
          <w:rFonts w:hint="eastAsia" w:ascii="黑体" w:hAnsi="宋体" w:eastAsia="黑体" w:cs="宋体"/>
          <w:b/>
          <w:bCs/>
          <w:color w:val="auto"/>
          <w:kern w:val="0"/>
          <w:sz w:val="32"/>
          <w:szCs w:val="32"/>
          <w:highlight w:val="none"/>
        </w:rPr>
        <w:t>第四章  评标办法及评分标准</w:t>
      </w:r>
      <w:bookmarkEnd w:id="41"/>
      <w:bookmarkEnd w:id="42"/>
    </w:p>
    <w:p w14:paraId="7680A48F">
      <w:pPr>
        <w:rPr>
          <w:color w:val="auto"/>
          <w:highlight w:val="none"/>
        </w:rPr>
      </w:pPr>
    </w:p>
    <w:p w14:paraId="05A5FB01">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（一）评标原则</w:t>
      </w:r>
    </w:p>
    <w:p w14:paraId="05FE9AA7">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按照“公平、公正”的原则对待所有</w:t>
      </w:r>
      <w:r>
        <w:rPr>
          <w:rFonts w:hint="eastAsia" w:ascii="宋体" w:hAnsi="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文件的相关规定进行评标、定标。</w:t>
      </w:r>
    </w:p>
    <w:p w14:paraId="1963E572">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二</w:t>
      </w:r>
      <w:r>
        <w:rPr>
          <w:rFonts w:hint="eastAsia" w:ascii="宋体" w:hAnsi="宋体" w:eastAsia="宋体" w:cs="宋体"/>
          <w:b w:val="0"/>
          <w:bCs w:val="0"/>
          <w:color w:val="auto"/>
          <w:sz w:val="21"/>
          <w:szCs w:val="21"/>
          <w:highlight w:val="none"/>
        </w:rPr>
        <w:t>）评标办法</w:t>
      </w:r>
    </w:p>
    <w:p w14:paraId="14ACFCD9">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1．本项目采用综合评分法，总分为100分。</w:t>
      </w:r>
    </w:p>
    <w:p w14:paraId="64076890">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w:t>
      </w: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文件中规定的评标方法和标准，对投标文件进行综合比较与评价。</w:t>
      </w:r>
    </w:p>
    <w:p w14:paraId="6CC6CD03">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rPr>
        <w:t>评标结果按评审后得分由高到低顺序排列，得分相同的，按投标报价由低到高顺序排列。得分且投标报价相同的，按技术部分得分顺序排列。</w:t>
      </w:r>
    </w:p>
    <w:p w14:paraId="58BD625A">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.投标文件满足</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文件全部实质性要求，且评审得分最高的</w:t>
      </w:r>
      <w:r>
        <w:rPr>
          <w:rFonts w:hint="eastAsia" w:ascii="宋体" w:hAnsi="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为第一</w:t>
      </w:r>
      <w:r>
        <w:rPr>
          <w:rFonts w:hint="eastAsia" w:ascii="宋体" w:hAnsi="宋体" w:cs="宋体"/>
          <w:b w:val="0"/>
          <w:bCs w:val="0"/>
          <w:color w:val="auto"/>
          <w:sz w:val="21"/>
          <w:szCs w:val="21"/>
          <w:highlight w:val="none"/>
          <w:lang w:eastAsia="zh-CN"/>
        </w:rPr>
        <w:t>成交候选人</w:t>
      </w:r>
      <w:r>
        <w:rPr>
          <w:rFonts w:hint="eastAsia" w:ascii="宋体" w:hAnsi="宋体" w:eastAsia="宋体" w:cs="宋体"/>
          <w:b w:val="0"/>
          <w:bCs w:val="0"/>
          <w:color w:val="auto"/>
          <w:sz w:val="21"/>
          <w:szCs w:val="21"/>
          <w:highlight w:val="none"/>
        </w:rPr>
        <w:t>。</w:t>
      </w:r>
    </w:p>
    <w:p w14:paraId="67AC5E63">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三</w:t>
      </w:r>
      <w:r>
        <w:rPr>
          <w:rFonts w:hint="eastAsia" w:ascii="宋体" w:hAnsi="宋体" w:eastAsia="宋体" w:cs="宋体"/>
          <w:b w:val="0"/>
          <w:bCs w:val="0"/>
          <w:color w:val="auto"/>
          <w:sz w:val="21"/>
          <w:szCs w:val="21"/>
          <w:highlight w:val="none"/>
        </w:rPr>
        <w:t>）评标程序</w:t>
      </w:r>
    </w:p>
    <w:p w14:paraId="4B242975">
      <w:pPr>
        <w:keepNext w:val="0"/>
        <w:keepLines w:val="0"/>
        <w:pageBreakBefore w:val="0"/>
        <w:numPr>
          <w:ilvl w:val="0"/>
          <w:numId w:val="0"/>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rPr>
        <w:t>详细评审（100分）</w:t>
      </w:r>
    </w:p>
    <w:tbl>
      <w:tblPr>
        <w:tblStyle w:val="32"/>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1473"/>
        <w:gridCol w:w="6770"/>
      </w:tblGrid>
      <w:tr w14:paraId="3E343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482" w:type="dxa"/>
            <w:gridSpan w:val="3"/>
            <w:noWrap w:val="0"/>
            <w:vAlign w:val="center"/>
          </w:tcPr>
          <w:p w14:paraId="7BE975F8">
            <w:pPr>
              <w:keepNext w:val="0"/>
              <w:keepLines w:val="0"/>
              <w:pageBreakBefore w:val="0"/>
              <w:widowControl w:val="0"/>
              <w:tabs>
                <w:tab w:val="left" w:pos="3000"/>
              </w:tabs>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评审内容</w:t>
            </w:r>
          </w:p>
        </w:tc>
      </w:tr>
      <w:tr w14:paraId="0EDAB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jc w:val="center"/>
        </w:trPr>
        <w:tc>
          <w:tcPr>
            <w:tcW w:w="1239" w:type="dxa"/>
            <w:noWrap w:val="0"/>
            <w:vAlign w:val="center"/>
          </w:tcPr>
          <w:p w14:paraId="0A2D687D">
            <w:pPr>
              <w:keepNext w:val="0"/>
              <w:keepLines w:val="0"/>
              <w:pageBreakBefore w:val="0"/>
              <w:kinsoku/>
              <w:wordWrap/>
              <w:overflowPunct/>
              <w:topLinePunct w:val="0"/>
              <w:bidi w:val="0"/>
              <w:snapToGrid w:val="0"/>
              <w:spacing w:line="320" w:lineRule="exact"/>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价格标部分 (3</w:t>
            </w:r>
            <w:r>
              <w:rPr>
                <w:rFonts w:hint="eastAsia" w:ascii="宋体" w:hAnsi="宋体" w:cs="宋体"/>
                <w:b w:val="0"/>
                <w:bCs w:val="0"/>
                <w:color w:val="auto"/>
                <w:sz w:val="21"/>
                <w:szCs w:val="21"/>
                <w:highlight w:val="none"/>
                <w:lang w:val="en-US" w:eastAsia="zh-CN"/>
              </w:rPr>
              <w:t>0</w:t>
            </w:r>
            <w:r>
              <w:rPr>
                <w:rFonts w:hint="eastAsia" w:ascii="宋体" w:hAnsi="宋体" w:eastAsia="宋体" w:cs="宋体"/>
                <w:b w:val="0"/>
                <w:bCs w:val="0"/>
                <w:color w:val="auto"/>
                <w:sz w:val="21"/>
                <w:szCs w:val="21"/>
                <w:highlight w:val="none"/>
              </w:rPr>
              <w:t>分)</w:t>
            </w:r>
          </w:p>
        </w:tc>
        <w:tc>
          <w:tcPr>
            <w:tcW w:w="8243" w:type="dxa"/>
            <w:gridSpan w:val="2"/>
            <w:noWrap w:val="0"/>
            <w:vAlign w:val="center"/>
          </w:tcPr>
          <w:p w14:paraId="58EE94ED">
            <w:pPr>
              <w:pStyle w:val="48"/>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说明：当</w:t>
            </w:r>
            <w:r>
              <w:rPr>
                <w:rFonts w:hint="eastAsia" w:hAnsi="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发现</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的投标报价明显低于其他投标报价，使其投标报价可能低于其个别成本的，</w:t>
            </w:r>
            <w:r>
              <w:rPr>
                <w:rFonts w:hint="eastAsia" w:hAnsi="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可对其质询，并要求该</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做出书面说明和提供相关的证明材料；该</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不能合理说明或提供证明材料的，</w:t>
            </w:r>
            <w:r>
              <w:rPr>
                <w:rFonts w:hint="eastAsia" w:hAnsi="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应按无效投标处理。</w:t>
            </w:r>
          </w:p>
          <w:p w14:paraId="01E3312C">
            <w:pPr>
              <w:pStyle w:val="48"/>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有效投标报价：投标报价</w:t>
            </w:r>
            <w:r>
              <w:rPr>
                <w:rFonts w:hint="eastAsia" w:ascii="宋体" w:hAnsi="宋体" w:eastAsia="宋体" w:cs="宋体"/>
                <w:b w:val="0"/>
                <w:bCs w:val="0"/>
                <w:color w:val="auto"/>
                <w:sz w:val="21"/>
                <w:szCs w:val="21"/>
                <w:highlight w:val="none"/>
                <w:lang w:val="en-US" w:eastAsia="zh-CN"/>
              </w:rPr>
              <w:t>不高于</w:t>
            </w:r>
            <w:r>
              <w:rPr>
                <w:rFonts w:hint="eastAsia" w:ascii="宋体" w:hAnsi="宋体" w:eastAsia="宋体" w:cs="宋体"/>
                <w:b w:val="0"/>
                <w:bCs w:val="0"/>
                <w:color w:val="auto"/>
                <w:sz w:val="21"/>
                <w:szCs w:val="21"/>
                <w:highlight w:val="none"/>
              </w:rPr>
              <w:t>采购预算价的为有效投标报价。</w:t>
            </w:r>
          </w:p>
          <w:p w14:paraId="7569CBF8">
            <w:pPr>
              <w:pStyle w:val="48"/>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评标基准值的确定：满足</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文件要求且投标价格最低的有效投标报价为评标基准价。</w:t>
            </w:r>
          </w:p>
          <w:p w14:paraId="06F2ABE4">
            <w:pPr>
              <w:rPr>
                <w:rFonts w:hint="eastAsia" w:ascii="宋体" w:hAnsi="宋体" w:eastAsia="宋体" w:cs="宋体"/>
                <w:highlight w:val="none"/>
                <w:lang w:val="en-US" w:eastAsia="zh-CN"/>
              </w:rPr>
            </w:pPr>
            <w:r>
              <w:rPr>
                <w:rFonts w:hint="eastAsia" w:ascii="宋体" w:hAnsi="宋体" w:eastAsia="宋体" w:cs="宋体"/>
                <w:b w:val="0"/>
                <w:bCs w:val="0"/>
                <w:color w:val="auto"/>
                <w:sz w:val="21"/>
                <w:szCs w:val="21"/>
                <w:highlight w:val="none"/>
              </w:rPr>
              <w:t>投标报价得分=（评标基准价/有效投标报价）×3</w:t>
            </w:r>
            <w:r>
              <w:rPr>
                <w:rFonts w:hint="eastAsia" w:ascii="宋体" w:hAnsi="宋体" w:cs="宋体"/>
                <w:b w:val="0"/>
                <w:bCs w:val="0"/>
                <w:color w:val="auto"/>
                <w:sz w:val="21"/>
                <w:szCs w:val="21"/>
                <w:highlight w:val="none"/>
                <w:lang w:val="en-US" w:eastAsia="zh-CN"/>
              </w:rPr>
              <w:t>0</w:t>
            </w:r>
            <w:r>
              <w:rPr>
                <w:rFonts w:hint="eastAsia" w:ascii="宋体" w:hAnsi="宋体" w:eastAsia="宋体" w:cs="宋体"/>
                <w:b w:val="0"/>
                <w:bCs w:val="0"/>
                <w:color w:val="auto"/>
                <w:sz w:val="21"/>
                <w:szCs w:val="21"/>
                <w:highlight w:val="none"/>
              </w:rPr>
              <w:t>分</w:t>
            </w:r>
          </w:p>
        </w:tc>
      </w:tr>
      <w:tr w14:paraId="06A71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1239" w:type="dxa"/>
            <w:vMerge w:val="restart"/>
            <w:noWrap w:val="0"/>
            <w:vAlign w:val="center"/>
          </w:tcPr>
          <w:p w14:paraId="70C4A643">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cs="宋体"/>
                <w:b w:val="0"/>
                <w:bCs w:val="0"/>
                <w:color w:val="auto"/>
                <w:sz w:val="21"/>
                <w:szCs w:val="21"/>
                <w:highlight w:val="none"/>
                <w:lang w:eastAsia="zh-CN"/>
              </w:rPr>
              <w:t>技术部分</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4</w:t>
            </w:r>
            <w:r>
              <w:rPr>
                <w:rFonts w:hint="eastAsia" w:ascii="宋体" w:hAnsi="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lang w:eastAsia="zh-CN"/>
              </w:rPr>
              <w:t>分）</w:t>
            </w:r>
          </w:p>
        </w:tc>
        <w:tc>
          <w:tcPr>
            <w:tcW w:w="1473" w:type="dxa"/>
            <w:noWrap w:val="0"/>
            <w:vAlign w:val="center"/>
          </w:tcPr>
          <w:p w14:paraId="6275D9CD">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1.产品技术参数（25分）</w:t>
            </w:r>
          </w:p>
        </w:tc>
        <w:tc>
          <w:tcPr>
            <w:tcW w:w="6770" w:type="dxa"/>
            <w:noWrap w:val="0"/>
            <w:vAlign w:val="center"/>
          </w:tcPr>
          <w:p w14:paraId="1D6CFD19">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对“第二章  采购需求”技术参数、性能及产品功能等的响应，所投内容全部满足磋商文件要求得</w:t>
            </w:r>
            <w:r>
              <w:rPr>
                <w:rFonts w:hint="eastAsia" w:ascii="宋体" w:hAnsi="宋体" w:eastAsia="宋体" w:cs="宋体"/>
                <w:b w:val="0"/>
                <w:bCs w:val="0"/>
                <w:color w:val="auto"/>
                <w:sz w:val="21"/>
                <w:szCs w:val="21"/>
                <w:highlight w:val="none"/>
                <w:lang w:val="en-US" w:eastAsia="zh-CN"/>
              </w:rPr>
              <w:t>25</w:t>
            </w:r>
            <w:r>
              <w:rPr>
                <w:rFonts w:hint="eastAsia" w:ascii="宋体" w:hAnsi="宋体" w:eastAsia="宋体" w:cs="宋体"/>
                <w:b w:val="0"/>
                <w:bCs w:val="0"/>
                <w:color w:val="auto"/>
                <w:sz w:val="21"/>
                <w:szCs w:val="21"/>
                <w:highlight w:val="none"/>
              </w:rPr>
              <w:t>分，一项不满足扣</w:t>
            </w:r>
            <w:r>
              <w:rPr>
                <w:rFonts w:hint="eastAsia" w:ascii="宋体" w:hAnsi="宋体" w:eastAsia="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rPr>
              <w:t>分</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如得分为0，则投标无效。</w:t>
            </w:r>
          </w:p>
          <w:p w14:paraId="41B9623E">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1）供应商需提供参数偏离表，并标注偏离情况。</w:t>
            </w:r>
          </w:p>
          <w:p w14:paraId="06ADB49B">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2）提供相关证明文件，并对响应技术参数部分做出明显标注。</w:t>
            </w:r>
          </w:p>
        </w:tc>
      </w:tr>
      <w:tr w14:paraId="75E9B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noWrap w:val="0"/>
            <w:vAlign w:val="center"/>
          </w:tcPr>
          <w:p w14:paraId="6DF89AC5">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noWrap w:val="0"/>
            <w:vAlign w:val="center"/>
          </w:tcPr>
          <w:p w14:paraId="59558EFF">
            <w:pPr>
              <w:keepNext w:val="0"/>
              <w:keepLines w:val="0"/>
              <w:pageBreakBefore w:val="0"/>
              <w:widowControl/>
              <w:kinsoku/>
              <w:wordWrap/>
              <w:overflowPunct/>
              <w:topLinePunct w:val="0"/>
              <w:autoSpaceDE/>
              <w:autoSpaceDN/>
              <w:bidi w:val="0"/>
              <w:adjustRightInd/>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cs="宋体"/>
                <w:b w:val="0"/>
                <w:bCs w:val="0"/>
                <w:color w:val="auto"/>
                <w:kern w:val="0"/>
                <w:sz w:val="21"/>
                <w:szCs w:val="21"/>
                <w:highlight w:val="none"/>
                <w:lang w:val="en-US" w:eastAsia="zh-CN"/>
              </w:rPr>
              <w:t>2.产品综合评议</w:t>
            </w: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10</w:t>
            </w:r>
            <w:r>
              <w:rPr>
                <w:rFonts w:hint="eastAsia" w:ascii="宋体" w:hAnsi="宋体" w:eastAsia="宋体" w:cs="宋体"/>
                <w:b w:val="0"/>
                <w:bCs w:val="0"/>
                <w:color w:val="auto"/>
                <w:sz w:val="21"/>
                <w:szCs w:val="21"/>
                <w:highlight w:val="none"/>
              </w:rPr>
              <w:t>分）</w:t>
            </w:r>
          </w:p>
        </w:tc>
        <w:tc>
          <w:tcPr>
            <w:tcW w:w="6770" w:type="dxa"/>
            <w:noWrap w:val="0"/>
            <w:vAlign w:val="center"/>
          </w:tcPr>
          <w:p w14:paraId="522ABB36">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由评委根据项目特性结合各响应产品制造工艺、稳定性、性能及技术先进性等进行打分。</w:t>
            </w:r>
          </w:p>
          <w:p w14:paraId="705DBC0F">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响应产品制造工艺、稳定性好，性能好、技术先进的得8-10分；响应产品制造工艺、稳定性较好，性能较好、技术较先进的得4-7分；响应产品制造工艺、稳定性、性能一般，技术保守的得1-3分。 </w:t>
            </w:r>
          </w:p>
        </w:tc>
      </w:tr>
      <w:tr w14:paraId="00220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noWrap w:val="0"/>
            <w:vAlign w:val="center"/>
          </w:tcPr>
          <w:p w14:paraId="269FFAC6">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noWrap w:val="0"/>
            <w:vAlign w:val="center"/>
          </w:tcPr>
          <w:p w14:paraId="458B5E2F">
            <w:pPr>
              <w:keepNext w:val="0"/>
              <w:keepLines w:val="0"/>
              <w:pageBreakBefore w:val="0"/>
              <w:widowControl/>
              <w:kinsoku/>
              <w:wordWrap/>
              <w:overflowPunct/>
              <w:topLinePunct w:val="0"/>
              <w:autoSpaceDE/>
              <w:autoSpaceDN/>
              <w:bidi w:val="0"/>
              <w:adjustRightInd/>
              <w:snapToGrid w:val="0"/>
              <w:spacing w:line="320" w:lineRule="exact"/>
              <w:jc w:val="center"/>
              <w:textAlignment w:val="auto"/>
              <w:rPr>
                <w:rFonts w:hint="eastAsia" w:ascii="宋体" w:hAnsi="宋体" w:eastAsia="宋体" w:cs="宋体"/>
                <w:b w:val="0"/>
                <w:bCs w:val="0"/>
                <w:color w:val="auto"/>
                <w:sz w:val="21"/>
                <w:szCs w:val="21"/>
                <w:highlight w:val="yellow"/>
                <w:lang w:val="en-US" w:eastAsia="zh-CN"/>
              </w:rPr>
            </w:pPr>
            <w:r>
              <w:rPr>
                <w:rFonts w:hint="eastAsia" w:ascii="宋体" w:hAnsi="宋体" w:cs="宋体"/>
                <w:b w:val="0"/>
                <w:bCs w:val="0"/>
                <w:color w:val="auto"/>
                <w:kern w:val="0"/>
                <w:sz w:val="21"/>
                <w:szCs w:val="21"/>
                <w:highlight w:val="none"/>
                <w:lang w:val="en-US" w:eastAsia="zh-CN"/>
              </w:rPr>
              <w:t>3</w:t>
            </w:r>
            <w:r>
              <w:rPr>
                <w:rFonts w:hint="eastAsia" w:ascii="宋体" w:hAnsi="宋体" w:eastAsia="宋体" w:cs="宋体"/>
                <w:b w:val="0"/>
                <w:bCs w:val="0"/>
                <w:color w:val="auto"/>
                <w:kern w:val="0"/>
                <w:sz w:val="21"/>
                <w:szCs w:val="21"/>
                <w:highlight w:val="none"/>
                <w:lang w:val="en-US" w:eastAsia="zh-CN"/>
              </w:rPr>
              <w:t>.实施方案（10分）</w:t>
            </w:r>
          </w:p>
        </w:tc>
        <w:tc>
          <w:tcPr>
            <w:tcW w:w="6770" w:type="dxa"/>
            <w:noWrap w:val="0"/>
            <w:vAlign w:val="center"/>
          </w:tcPr>
          <w:p w14:paraId="0C57E38E">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供应商对项目实施方案的整体规划，包括</w:t>
            </w:r>
            <w:r>
              <w:rPr>
                <w:rFonts w:hint="eastAsia" w:ascii="宋体" w:hAnsi="宋体" w:cs="宋体"/>
                <w:b w:val="0"/>
                <w:bCs w:val="0"/>
                <w:color w:val="auto"/>
                <w:sz w:val="21"/>
                <w:szCs w:val="21"/>
                <w:highlight w:val="none"/>
                <w:lang w:eastAsia="zh-CN"/>
              </w:rPr>
              <w:t>供货</w:t>
            </w:r>
            <w:r>
              <w:rPr>
                <w:rFonts w:hint="eastAsia" w:ascii="宋体" w:hAnsi="宋体" w:eastAsia="宋体" w:cs="宋体"/>
                <w:b w:val="0"/>
                <w:bCs w:val="0"/>
                <w:color w:val="auto"/>
                <w:sz w:val="21"/>
                <w:szCs w:val="21"/>
                <w:highlight w:val="none"/>
              </w:rPr>
              <w:t>方案、</w:t>
            </w:r>
            <w:r>
              <w:rPr>
                <w:rFonts w:ascii="宋体" w:hAnsi="宋体" w:eastAsia="宋体" w:cs="宋体"/>
                <w:color w:val="auto"/>
                <w:kern w:val="0"/>
                <w:szCs w:val="21"/>
              </w:rPr>
              <w:t>移除原设备</w:t>
            </w:r>
            <w:r>
              <w:rPr>
                <w:rFonts w:hint="eastAsia" w:ascii="宋体" w:hAnsi="宋体" w:eastAsia="宋体" w:cs="宋体"/>
                <w:color w:val="auto"/>
                <w:kern w:val="0"/>
                <w:szCs w:val="21"/>
                <w:lang w:eastAsia="zh-CN"/>
              </w:rPr>
              <w:t>及安装调试方案</w:t>
            </w:r>
            <w:r>
              <w:rPr>
                <w:rFonts w:hint="eastAsia" w:ascii="宋体" w:hAnsi="宋体" w:cs="宋体"/>
                <w:b w:val="0"/>
                <w:bCs w:val="0"/>
                <w:color w:val="auto"/>
                <w:sz w:val="21"/>
                <w:szCs w:val="21"/>
                <w:highlight w:val="none"/>
                <w:lang w:val="en-US" w:eastAsia="zh-CN"/>
              </w:rPr>
              <w:t>、人员安排计划、</w:t>
            </w:r>
            <w:r>
              <w:rPr>
                <w:rFonts w:hint="eastAsia" w:ascii="宋体" w:hAnsi="宋体" w:cs="宋体"/>
                <w:b w:val="0"/>
                <w:bCs w:val="0"/>
                <w:color w:val="auto"/>
                <w:sz w:val="21"/>
                <w:szCs w:val="21"/>
                <w:highlight w:val="none"/>
                <w:lang w:eastAsia="zh-CN"/>
              </w:rPr>
              <w:t>验收</w:t>
            </w:r>
            <w:r>
              <w:rPr>
                <w:rFonts w:hint="eastAsia" w:ascii="宋体" w:hAnsi="宋体" w:eastAsia="宋体" w:cs="宋体"/>
                <w:b w:val="0"/>
                <w:bCs w:val="0"/>
                <w:color w:val="auto"/>
                <w:sz w:val="21"/>
                <w:szCs w:val="21"/>
                <w:highlight w:val="none"/>
              </w:rPr>
              <w:t>方案、交货期保证措施。</w:t>
            </w:r>
          </w:p>
          <w:p w14:paraId="1B4171A6">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sz w:val="21"/>
                <w:szCs w:val="21"/>
                <w:highlight w:val="yellow"/>
                <w:lang w:val="en-US" w:eastAsia="zh-CN"/>
              </w:rPr>
            </w:pPr>
            <w:r>
              <w:rPr>
                <w:rFonts w:hint="eastAsia" w:ascii="宋体" w:hAnsi="宋体" w:eastAsia="宋体" w:cs="宋体"/>
                <w:b w:val="0"/>
                <w:bCs w:val="0"/>
                <w:color w:val="auto"/>
                <w:sz w:val="21"/>
                <w:szCs w:val="21"/>
                <w:highlight w:val="none"/>
              </w:rPr>
              <w:t>以上措施详细、合理、可行的7-10分；基本详细、基本合理、基本可行的4-6分；基本详细度、合理性差、可行性差的1-3分；缺项得0分。</w:t>
            </w:r>
          </w:p>
        </w:tc>
      </w:tr>
      <w:tr w14:paraId="57EC2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39" w:type="dxa"/>
            <w:vMerge w:val="restart"/>
            <w:noWrap w:val="0"/>
            <w:vAlign w:val="center"/>
          </w:tcPr>
          <w:p w14:paraId="31C08467">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商务评价</w:t>
            </w:r>
          </w:p>
          <w:p w14:paraId="409F1770">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w:t>
            </w:r>
            <w:r>
              <w:rPr>
                <w:rFonts w:hint="eastAsia" w:ascii="宋体" w:hAnsi="宋体" w:cs="宋体"/>
                <w:b w:val="0"/>
                <w:bCs w:val="0"/>
                <w:color w:val="auto"/>
                <w:sz w:val="21"/>
                <w:szCs w:val="21"/>
                <w:highlight w:val="none"/>
                <w:lang w:val="en-US" w:eastAsia="zh-CN"/>
              </w:rPr>
              <w:t>25</w:t>
            </w:r>
            <w:r>
              <w:rPr>
                <w:rFonts w:hint="eastAsia" w:ascii="宋体" w:hAnsi="宋体" w:eastAsia="宋体" w:cs="宋体"/>
                <w:b w:val="0"/>
                <w:bCs w:val="0"/>
                <w:color w:val="auto"/>
                <w:sz w:val="21"/>
                <w:szCs w:val="21"/>
                <w:highlight w:val="none"/>
                <w:lang w:eastAsia="zh-CN"/>
              </w:rPr>
              <w:t>分)</w:t>
            </w:r>
          </w:p>
        </w:tc>
        <w:tc>
          <w:tcPr>
            <w:tcW w:w="1473" w:type="dxa"/>
            <w:tcBorders>
              <w:top w:val="single" w:color="auto" w:sz="4" w:space="0"/>
            </w:tcBorders>
            <w:noWrap w:val="0"/>
            <w:vAlign w:val="center"/>
          </w:tcPr>
          <w:p w14:paraId="4086693D">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1、质保期（6分）</w:t>
            </w:r>
          </w:p>
        </w:tc>
        <w:tc>
          <w:tcPr>
            <w:tcW w:w="6770" w:type="dxa"/>
            <w:noWrap w:val="0"/>
            <w:vAlign w:val="top"/>
          </w:tcPr>
          <w:p w14:paraId="0204D63B">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质保期达到招标要求的，得基础分2分，超过招标文件规定的，每增加半年加1分,最多加4分（出具相关服务承诺书）。</w:t>
            </w:r>
          </w:p>
        </w:tc>
      </w:tr>
      <w:tr w14:paraId="7BC810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1239" w:type="dxa"/>
            <w:vMerge w:val="continue"/>
            <w:noWrap w:val="0"/>
            <w:vAlign w:val="center"/>
          </w:tcPr>
          <w:p w14:paraId="2BE103B0">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tcBorders>
              <w:top w:val="single" w:color="auto" w:sz="4" w:space="0"/>
            </w:tcBorders>
            <w:noWrap w:val="0"/>
            <w:vAlign w:val="center"/>
          </w:tcPr>
          <w:p w14:paraId="6BD7921D">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2.类似业绩（4分）</w:t>
            </w:r>
          </w:p>
        </w:tc>
        <w:tc>
          <w:tcPr>
            <w:tcW w:w="6770" w:type="dxa"/>
            <w:noWrap w:val="0"/>
            <w:vAlign w:val="center"/>
          </w:tcPr>
          <w:p w14:paraId="791ABD09">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sz w:val="21"/>
                <w:szCs w:val="21"/>
                <w:lang w:val="en-US" w:eastAsia="zh-CN"/>
              </w:rPr>
            </w:pPr>
            <w:r>
              <w:rPr>
                <w:rFonts w:hint="eastAsia" w:ascii="宋体" w:hAnsi="宋体" w:eastAsia="宋体" w:cs="宋体"/>
                <w:b w:val="0"/>
                <w:bCs w:val="0"/>
                <w:color w:val="auto"/>
                <w:kern w:val="0"/>
                <w:sz w:val="21"/>
                <w:szCs w:val="21"/>
                <w:highlight w:val="none"/>
                <w:lang w:val="en-US" w:eastAsia="zh-CN"/>
              </w:rPr>
              <w:t>自2021年1月1日以来具有的类似项目(以合同文件为准），每提供一份得2分，最多得4分。</w:t>
            </w:r>
          </w:p>
        </w:tc>
      </w:tr>
      <w:tr w14:paraId="1E404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 w:hRule="atLeast"/>
          <w:jc w:val="center"/>
        </w:trPr>
        <w:tc>
          <w:tcPr>
            <w:tcW w:w="1239" w:type="dxa"/>
            <w:vMerge w:val="continue"/>
            <w:noWrap w:val="0"/>
            <w:vAlign w:val="center"/>
          </w:tcPr>
          <w:p w14:paraId="1CB93D06">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p>
        </w:tc>
        <w:tc>
          <w:tcPr>
            <w:tcW w:w="1473" w:type="dxa"/>
            <w:noWrap w:val="0"/>
            <w:vAlign w:val="center"/>
          </w:tcPr>
          <w:p w14:paraId="55C5E59C">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kern w:val="2"/>
                <w:sz w:val="21"/>
                <w:szCs w:val="21"/>
                <w:highlight w:val="none"/>
                <w:lang w:val="en-US" w:eastAsia="zh-CN"/>
              </w:rPr>
              <w:t>3.售后服务体系（15分）</w:t>
            </w:r>
          </w:p>
        </w:tc>
        <w:tc>
          <w:tcPr>
            <w:tcW w:w="6770" w:type="dxa"/>
            <w:noWrap w:val="0"/>
            <w:vAlign w:val="center"/>
          </w:tcPr>
          <w:p w14:paraId="4BF9719E">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cs="宋体"/>
                <w:b w:val="0"/>
                <w:bCs w:val="0"/>
                <w:color w:val="auto"/>
                <w:kern w:val="2"/>
                <w:sz w:val="21"/>
                <w:szCs w:val="21"/>
                <w:highlight w:val="none"/>
                <w:lang w:val="en-US" w:eastAsia="zh-CN"/>
              </w:rPr>
            </w:pPr>
            <w:r>
              <w:rPr>
                <w:rFonts w:hint="eastAsia" w:ascii="宋体" w:hAnsi="宋体" w:cs="宋体"/>
                <w:b w:val="0"/>
                <w:bCs w:val="0"/>
                <w:color w:val="auto"/>
                <w:kern w:val="2"/>
                <w:sz w:val="21"/>
                <w:szCs w:val="21"/>
                <w:highlight w:val="none"/>
                <w:lang w:val="en-US" w:eastAsia="zh-CN"/>
              </w:rPr>
              <w:t>供应商提供合理、完整、可行的售后服务方案，明确售后响应流程、问题反馈、答疑时效、服务方式、服务地点、企业提供本地化服务的措施、售后人员数量、经验、紧急故障解决方式等。</w:t>
            </w:r>
          </w:p>
          <w:p w14:paraId="7B92A7EA">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sz w:val="21"/>
                <w:szCs w:val="21"/>
              </w:rPr>
            </w:pPr>
            <w:r>
              <w:rPr>
                <w:rFonts w:hint="eastAsia" w:ascii="宋体" w:hAnsi="宋体" w:eastAsia="宋体" w:cs="宋体"/>
                <w:b w:val="0"/>
                <w:bCs w:val="0"/>
                <w:color w:val="auto"/>
                <w:kern w:val="2"/>
                <w:sz w:val="21"/>
                <w:szCs w:val="21"/>
                <w:highlight w:val="none"/>
              </w:rPr>
              <w:t>售后服务承诺内容具体、完善、合理性程度强得11-15分，具体、完善、合理性程度一般得6-10分，具体、完善、合理性程度差得1-5分，缺项得0分。</w:t>
            </w:r>
          </w:p>
        </w:tc>
      </w:tr>
      <w:tr w14:paraId="6B241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239" w:type="dxa"/>
            <w:noWrap w:val="0"/>
            <w:vAlign w:val="top"/>
          </w:tcPr>
          <w:p w14:paraId="10E4E809">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得分的计算</w:t>
            </w:r>
          </w:p>
        </w:tc>
        <w:tc>
          <w:tcPr>
            <w:tcW w:w="8243" w:type="dxa"/>
            <w:gridSpan w:val="2"/>
            <w:noWrap w:val="0"/>
            <w:vAlign w:val="center"/>
          </w:tcPr>
          <w:p w14:paraId="4AF1141B">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成员评分=各项评分因素的汇总得分。</w:t>
            </w:r>
          </w:p>
          <w:p w14:paraId="2D97CA68">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评标总得分=</w:t>
            </w: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所有成员合计评分/</w:t>
            </w: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组成人员数。</w:t>
            </w:r>
          </w:p>
        </w:tc>
      </w:tr>
      <w:bookmarkEnd w:id="43"/>
    </w:tbl>
    <w:p w14:paraId="717A98BF">
      <w:pPr>
        <w:rPr>
          <w:color w:val="auto"/>
          <w:highlight w:val="none"/>
        </w:rPr>
      </w:pPr>
      <w:bookmarkStart w:id="44" w:name="_Toc1947"/>
      <w:bookmarkStart w:id="45" w:name="_Toc1482"/>
      <w:bookmarkStart w:id="46" w:name="_Toc256519703"/>
      <w:bookmarkStart w:id="47" w:name="_Toc326786897"/>
    </w:p>
    <w:p w14:paraId="1D60A375">
      <w:pPr>
        <w:rPr>
          <w:rFonts w:hint="eastAsia"/>
          <w:color w:val="auto"/>
          <w:sz w:val="28"/>
          <w:szCs w:val="28"/>
          <w:highlight w:val="none"/>
        </w:rPr>
      </w:pPr>
      <w:bookmarkStart w:id="48" w:name="_Toc1638"/>
      <w:r>
        <w:rPr>
          <w:rFonts w:hint="eastAsia"/>
          <w:color w:val="auto"/>
          <w:sz w:val="28"/>
          <w:szCs w:val="28"/>
          <w:highlight w:val="none"/>
        </w:rPr>
        <w:br w:type="page"/>
      </w:r>
    </w:p>
    <w:p w14:paraId="5A2F6371">
      <w:pPr>
        <w:pStyle w:val="2"/>
        <w:snapToGrid w:val="0"/>
        <w:spacing w:before="0" w:after="0" w:line="480" w:lineRule="auto"/>
        <w:jc w:val="center"/>
        <w:rPr>
          <w:color w:val="auto"/>
          <w:sz w:val="28"/>
          <w:szCs w:val="28"/>
          <w:highlight w:val="yellow"/>
        </w:rPr>
      </w:pPr>
      <w:r>
        <w:rPr>
          <w:rFonts w:hint="eastAsia"/>
          <w:color w:val="auto"/>
          <w:sz w:val="28"/>
          <w:szCs w:val="28"/>
          <w:highlight w:val="none"/>
        </w:rPr>
        <w:t>第五章  采购合同</w:t>
      </w:r>
      <w:bookmarkEnd w:id="48"/>
    </w:p>
    <w:p w14:paraId="6B3E553C">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sz w:val="21"/>
          <w:szCs w:val="21"/>
          <w:lang w:eastAsia="zh-CN"/>
        </w:rPr>
      </w:pPr>
      <w:r>
        <w:rPr>
          <w:rFonts w:hint="eastAsia" w:ascii="宋体" w:hAnsi="宋体"/>
          <w:sz w:val="21"/>
          <w:szCs w:val="21"/>
          <w:lang w:eastAsia="zh-CN"/>
        </w:rPr>
        <w:t>（</w:t>
      </w:r>
      <w:r>
        <w:rPr>
          <w:rFonts w:hint="eastAsia" w:ascii="宋体" w:hAnsi="宋体"/>
          <w:sz w:val="21"/>
          <w:szCs w:val="21"/>
          <w:lang w:val="en-US" w:eastAsia="zh-CN"/>
        </w:rPr>
        <w:t>以实际合同为准</w:t>
      </w:r>
      <w:r>
        <w:rPr>
          <w:rFonts w:hint="eastAsia" w:ascii="宋体" w:hAnsi="宋体"/>
          <w:sz w:val="21"/>
          <w:szCs w:val="21"/>
          <w:lang w:eastAsia="zh-CN"/>
        </w:rPr>
        <w:t>）</w:t>
      </w:r>
    </w:p>
    <w:p w14:paraId="73408AE3">
      <w:pPr>
        <w:rPr>
          <w:color w:val="auto"/>
          <w:sz w:val="32"/>
          <w:szCs w:val="32"/>
          <w:highlight w:val="none"/>
        </w:rPr>
      </w:pPr>
    </w:p>
    <w:p w14:paraId="6067BECF">
      <w:pPr>
        <w:rPr>
          <w:color w:val="auto"/>
          <w:highlight w:val="none"/>
        </w:rPr>
      </w:pPr>
      <w:r>
        <w:rPr>
          <w:color w:val="auto"/>
          <w:highlight w:val="none"/>
        </w:rPr>
        <w:br w:type="page"/>
      </w:r>
    </w:p>
    <w:p w14:paraId="65B0F057">
      <w:pPr>
        <w:pStyle w:val="30"/>
      </w:pPr>
    </w:p>
    <w:p w14:paraId="6ED7F02F">
      <w:pPr>
        <w:pStyle w:val="2"/>
        <w:jc w:val="center"/>
        <w:rPr>
          <w:rFonts w:ascii="宋体" w:hAnsi="宋体" w:cs="宋体"/>
          <w:color w:val="auto"/>
          <w:kern w:val="0"/>
          <w:highlight w:val="none"/>
        </w:rPr>
      </w:pPr>
      <w:bookmarkStart w:id="49" w:name="_Toc5963"/>
      <w:r>
        <w:rPr>
          <w:rFonts w:hint="eastAsia"/>
          <w:color w:val="auto"/>
          <w:sz w:val="32"/>
          <w:szCs w:val="32"/>
          <w:highlight w:val="none"/>
        </w:rPr>
        <w:t>第六章  投标文件格式</w:t>
      </w:r>
      <w:bookmarkEnd w:id="44"/>
      <w:bookmarkEnd w:id="45"/>
      <w:bookmarkEnd w:id="49"/>
    </w:p>
    <w:p w14:paraId="46FFF979">
      <w:pPr>
        <w:spacing w:line="440" w:lineRule="exact"/>
        <w:rPr>
          <w:color w:val="auto"/>
          <w:sz w:val="24"/>
          <w:highlight w:val="none"/>
        </w:rPr>
      </w:pPr>
    </w:p>
    <w:p w14:paraId="7589F1CB">
      <w:pPr>
        <w:jc w:val="center"/>
        <w:rPr>
          <w:b/>
          <w:bCs/>
          <w:color w:val="auto"/>
          <w:sz w:val="32"/>
          <w:szCs w:val="32"/>
          <w:highlight w:val="none"/>
        </w:rPr>
      </w:pPr>
      <w:bookmarkStart w:id="50" w:name="_Toc13604"/>
      <w:r>
        <w:rPr>
          <w:rFonts w:hint="eastAsia"/>
          <w:b/>
          <w:bCs/>
          <w:color w:val="auto"/>
          <w:sz w:val="32"/>
          <w:szCs w:val="32"/>
          <w:highlight w:val="none"/>
        </w:rPr>
        <w:t>目    录</w:t>
      </w:r>
      <w:bookmarkEnd w:id="50"/>
    </w:p>
    <w:p w14:paraId="5083075F">
      <w:pPr>
        <w:widowControl/>
        <w:wordWrap w:val="0"/>
        <w:spacing w:line="460" w:lineRule="exact"/>
        <w:ind w:firstLine="480" w:firstLineChars="200"/>
        <w:jc w:val="left"/>
        <w:rPr>
          <w:rFonts w:ascii="宋体" w:hAnsi="宋体" w:cs="宋体"/>
          <w:color w:val="auto"/>
          <w:kern w:val="0"/>
          <w:sz w:val="24"/>
          <w:highlight w:val="none"/>
        </w:rPr>
      </w:pPr>
    </w:p>
    <w:p w14:paraId="2A540FB2">
      <w:pPr>
        <w:snapToGrid w:val="0"/>
        <w:spacing w:line="360" w:lineRule="auto"/>
        <w:ind w:firstLine="480" w:firstLineChars="200"/>
        <w:rPr>
          <w:color w:val="auto"/>
          <w:sz w:val="24"/>
          <w:highlight w:val="none"/>
        </w:rPr>
      </w:pPr>
      <w:bookmarkStart w:id="51" w:name="_Toc11308"/>
      <w:r>
        <w:rPr>
          <w:rFonts w:hint="eastAsia"/>
          <w:color w:val="auto"/>
          <w:sz w:val="24"/>
          <w:highlight w:val="none"/>
        </w:rPr>
        <w:t>附件1投标文件封面（格式）</w:t>
      </w:r>
      <w:bookmarkEnd w:id="51"/>
    </w:p>
    <w:p w14:paraId="58809A94">
      <w:pPr>
        <w:snapToGrid w:val="0"/>
        <w:spacing w:line="360" w:lineRule="auto"/>
        <w:ind w:firstLine="480" w:firstLineChars="200"/>
        <w:rPr>
          <w:color w:val="auto"/>
          <w:sz w:val="24"/>
          <w:highlight w:val="none"/>
        </w:rPr>
      </w:pPr>
      <w:bookmarkStart w:id="52" w:name="_Toc25345"/>
      <w:r>
        <w:rPr>
          <w:rFonts w:hint="eastAsia"/>
          <w:color w:val="auto"/>
          <w:sz w:val="24"/>
          <w:highlight w:val="none"/>
        </w:rPr>
        <w:t>附件2 投标书（格式）</w:t>
      </w:r>
      <w:bookmarkEnd w:id="52"/>
    </w:p>
    <w:p w14:paraId="20EC7F9A">
      <w:pPr>
        <w:snapToGrid w:val="0"/>
        <w:spacing w:line="360" w:lineRule="auto"/>
        <w:ind w:firstLine="480" w:firstLineChars="200"/>
        <w:rPr>
          <w:color w:val="auto"/>
          <w:sz w:val="24"/>
          <w:highlight w:val="none"/>
        </w:rPr>
      </w:pPr>
      <w:bookmarkStart w:id="53" w:name="_Toc10217"/>
      <w:r>
        <w:rPr>
          <w:rFonts w:hint="eastAsia"/>
          <w:color w:val="auto"/>
          <w:sz w:val="24"/>
          <w:highlight w:val="none"/>
        </w:rPr>
        <w:t>附件3 开标一览表（格式）</w:t>
      </w:r>
      <w:bookmarkEnd w:id="53"/>
    </w:p>
    <w:p w14:paraId="0C74F9EE">
      <w:pPr>
        <w:snapToGrid w:val="0"/>
        <w:spacing w:line="360" w:lineRule="auto"/>
        <w:ind w:firstLine="480" w:firstLineChars="200"/>
        <w:rPr>
          <w:rFonts w:hint="default"/>
          <w:color w:val="auto"/>
          <w:sz w:val="24"/>
          <w:highlight w:val="none"/>
          <w:lang w:val="en-US"/>
        </w:rPr>
      </w:pPr>
      <w:bookmarkStart w:id="54" w:name="_Toc9579"/>
      <w:r>
        <w:rPr>
          <w:rFonts w:hint="eastAsia"/>
          <w:color w:val="auto"/>
          <w:sz w:val="24"/>
          <w:highlight w:val="none"/>
        </w:rPr>
        <w:t xml:space="preserve">附件4 </w:t>
      </w:r>
      <w:bookmarkEnd w:id="54"/>
      <w:r>
        <w:rPr>
          <w:rFonts w:hint="eastAsia"/>
          <w:color w:val="auto"/>
          <w:sz w:val="24"/>
          <w:highlight w:val="none"/>
          <w:lang w:val="en-US" w:eastAsia="zh-CN"/>
        </w:rPr>
        <w:t>报价明细表</w:t>
      </w:r>
      <w:r>
        <w:rPr>
          <w:rFonts w:hint="eastAsia"/>
          <w:color w:val="auto"/>
          <w:sz w:val="24"/>
          <w:highlight w:val="none"/>
        </w:rPr>
        <w:t>（格式）</w:t>
      </w:r>
    </w:p>
    <w:p w14:paraId="54A584E3">
      <w:pPr>
        <w:snapToGrid w:val="0"/>
        <w:spacing w:line="360" w:lineRule="auto"/>
        <w:ind w:firstLine="480" w:firstLineChars="200"/>
        <w:rPr>
          <w:color w:val="auto"/>
          <w:sz w:val="24"/>
          <w:highlight w:val="none"/>
        </w:rPr>
      </w:pPr>
      <w:bookmarkStart w:id="55" w:name="_Toc28392"/>
      <w:r>
        <w:rPr>
          <w:rFonts w:hint="eastAsia"/>
          <w:color w:val="auto"/>
          <w:sz w:val="24"/>
          <w:highlight w:val="none"/>
        </w:rPr>
        <w:t>附件5</w:t>
      </w:r>
      <w:r>
        <w:rPr>
          <w:rFonts w:hint="eastAsia"/>
          <w:color w:val="auto"/>
          <w:sz w:val="24"/>
          <w:highlight w:val="none"/>
          <w:lang w:val="en-US" w:eastAsia="zh-CN"/>
        </w:rPr>
        <w:t xml:space="preserve"> </w:t>
      </w:r>
      <w:r>
        <w:rPr>
          <w:rFonts w:hint="eastAsia"/>
          <w:color w:val="auto"/>
          <w:sz w:val="24"/>
          <w:highlight w:val="none"/>
        </w:rPr>
        <w:t>技术</w:t>
      </w:r>
      <w:bookmarkEnd w:id="55"/>
      <w:r>
        <w:rPr>
          <w:rFonts w:hint="eastAsia"/>
          <w:color w:val="auto"/>
          <w:sz w:val="24"/>
          <w:highlight w:val="none"/>
          <w:lang w:val="en-US" w:eastAsia="zh-CN"/>
        </w:rPr>
        <w:t>响应表</w:t>
      </w:r>
      <w:r>
        <w:rPr>
          <w:rFonts w:hint="eastAsia"/>
          <w:color w:val="auto"/>
          <w:sz w:val="24"/>
          <w:highlight w:val="none"/>
        </w:rPr>
        <w:t>（格式）</w:t>
      </w:r>
    </w:p>
    <w:p w14:paraId="6A6828C7">
      <w:pPr>
        <w:snapToGrid w:val="0"/>
        <w:spacing w:line="360" w:lineRule="auto"/>
        <w:ind w:firstLine="480" w:firstLineChars="200"/>
        <w:rPr>
          <w:rFonts w:hint="eastAsia" w:eastAsia="宋体"/>
          <w:color w:val="auto"/>
          <w:sz w:val="24"/>
          <w:highlight w:val="none"/>
          <w:lang w:val="en-US" w:eastAsia="zh-CN"/>
        </w:rPr>
      </w:pPr>
      <w:bookmarkStart w:id="56" w:name="_Toc6234"/>
      <w:r>
        <w:rPr>
          <w:rFonts w:hint="eastAsia"/>
          <w:color w:val="auto"/>
          <w:sz w:val="24"/>
          <w:highlight w:val="none"/>
        </w:rPr>
        <w:t>附件6 商务</w:t>
      </w:r>
      <w:bookmarkEnd w:id="56"/>
      <w:r>
        <w:rPr>
          <w:rFonts w:hint="eastAsia"/>
          <w:color w:val="auto"/>
          <w:sz w:val="24"/>
          <w:highlight w:val="none"/>
          <w:lang w:val="en-US" w:eastAsia="zh-CN"/>
        </w:rPr>
        <w:t>响应表</w:t>
      </w:r>
      <w:r>
        <w:rPr>
          <w:rFonts w:hint="eastAsia"/>
          <w:color w:val="auto"/>
          <w:sz w:val="24"/>
          <w:highlight w:val="none"/>
        </w:rPr>
        <w:t>（格式）</w:t>
      </w:r>
    </w:p>
    <w:p w14:paraId="46725987">
      <w:pPr>
        <w:snapToGrid w:val="0"/>
        <w:spacing w:line="360" w:lineRule="auto"/>
        <w:ind w:firstLine="480" w:firstLineChars="200"/>
        <w:rPr>
          <w:color w:val="auto"/>
          <w:sz w:val="24"/>
          <w:highlight w:val="none"/>
        </w:rPr>
      </w:pPr>
      <w:bookmarkStart w:id="57" w:name="_Toc26231"/>
      <w:r>
        <w:rPr>
          <w:rFonts w:hint="eastAsia"/>
          <w:color w:val="auto"/>
          <w:sz w:val="24"/>
          <w:highlight w:val="none"/>
        </w:rPr>
        <w:t>附件7</w:t>
      </w:r>
      <w:r>
        <w:rPr>
          <w:rFonts w:hint="eastAsia"/>
          <w:color w:val="auto"/>
          <w:sz w:val="24"/>
          <w:highlight w:val="none"/>
          <w:lang w:val="en-US" w:eastAsia="zh-CN"/>
        </w:rPr>
        <w:t xml:space="preserve"> </w:t>
      </w:r>
      <w:r>
        <w:rPr>
          <w:rFonts w:hint="eastAsia"/>
          <w:color w:val="auto"/>
          <w:sz w:val="24"/>
          <w:highlight w:val="none"/>
        </w:rPr>
        <w:t>法定代表人身份证明（格式）</w:t>
      </w:r>
      <w:bookmarkEnd w:id="57"/>
    </w:p>
    <w:p w14:paraId="6D32ECF3">
      <w:pPr>
        <w:snapToGrid w:val="0"/>
        <w:spacing w:line="360" w:lineRule="auto"/>
        <w:ind w:firstLine="480" w:firstLineChars="200"/>
        <w:rPr>
          <w:color w:val="auto"/>
          <w:sz w:val="24"/>
          <w:highlight w:val="none"/>
        </w:rPr>
      </w:pPr>
      <w:bookmarkStart w:id="58" w:name="_Toc18484"/>
      <w:r>
        <w:rPr>
          <w:rFonts w:hint="eastAsia"/>
          <w:color w:val="auto"/>
          <w:sz w:val="24"/>
          <w:highlight w:val="none"/>
        </w:rPr>
        <w:t>附件8</w:t>
      </w:r>
      <w:r>
        <w:rPr>
          <w:rFonts w:hint="eastAsia"/>
          <w:color w:val="auto"/>
          <w:sz w:val="24"/>
          <w:highlight w:val="none"/>
          <w:lang w:val="en-US" w:eastAsia="zh-CN"/>
        </w:rPr>
        <w:t xml:space="preserve"> </w:t>
      </w:r>
      <w:r>
        <w:rPr>
          <w:rFonts w:hint="eastAsia"/>
          <w:color w:val="auto"/>
          <w:sz w:val="24"/>
          <w:highlight w:val="none"/>
        </w:rPr>
        <w:t>法定代表人授权书（格式）</w:t>
      </w:r>
      <w:bookmarkEnd w:id="58"/>
    </w:p>
    <w:p w14:paraId="7EA0E0A0">
      <w:pPr>
        <w:snapToGrid w:val="0"/>
        <w:spacing w:line="360" w:lineRule="auto"/>
        <w:ind w:firstLine="480" w:firstLineChars="200"/>
        <w:rPr>
          <w:color w:val="auto"/>
          <w:sz w:val="24"/>
          <w:highlight w:val="none"/>
        </w:rPr>
      </w:pPr>
      <w:bookmarkStart w:id="59" w:name="_Toc31857"/>
      <w:r>
        <w:rPr>
          <w:rFonts w:hint="eastAsia"/>
          <w:color w:val="auto"/>
          <w:sz w:val="24"/>
          <w:highlight w:val="none"/>
        </w:rPr>
        <w:t>附件9 证明文件</w:t>
      </w:r>
      <w:bookmarkEnd w:id="59"/>
    </w:p>
    <w:p w14:paraId="07776646">
      <w:pPr>
        <w:snapToGrid w:val="0"/>
        <w:spacing w:line="360" w:lineRule="auto"/>
        <w:ind w:firstLine="480" w:firstLineChars="200"/>
        <w:rPr>
          <w:rFonts w:hint="eastAsia"/>
          <w:color w:val="auto"/>
          <w:sz w:val="24"/>
          <w:highlight w:val="none"/>
        </w:rPr>
      </w:pPr>
      <w:bookmarkStart w:id="60" w:name="_Toc23116"/>
      <w:r>
        <w:rPr>
          <w:rFonts w:hint="eastAsia"/>
          <w:color w:val="auto"/>
          <w:sz w:val="24"/>
          <w:highlight w:val="none"/>
        </w:rPr>
        <w:t>附件10 供应商承诺书（格式）</w:t>
      </w:r>
      <w:bookmarkEnd w:id="60"/>
    </w:p>
    <w:p w14:paraId="5E4E5B62">
      <w:pPr>
        <w:snapToGrid w:val="0"/>
        <w:spacing w:line="360" w:lineRule="auto"/>
        <w:ind w:firstLine="480" w:firstLineChars="200"/>
        <w:rPr>
          <w:rFonts w:hint="eastAsia"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附件11 供应商信用承诺函（格式）</w:t>
      </w:r>
    </w:p>
    <w:p w14:paraId="66F92FCA">
      <w:pPr>
        <w:pStyle w:val="30"/>
        <w:rPr>
          <w:rFonts w:hint="eastAsia"/>
        </w:rPr>
      </w:pPr>
    </w:p>
    <w:p w14:paraId="6C5C2B24">
      <w:pPr>
        <w:widowControl/>
        <w:wordWrap w:val="0"/>
        <w:snapToGrid w:val="0"/>
        <w:spacing w:line="460" w:lineRule="exact"/>
        <w:ind w:firstLine="482" w:firstLineChars="200"/>
        <w:jc w:val="center"/>
        <w:rPr>
          <w:rFonts w:ascii="宋体" w:hAnsi="宋体" w:cs="宋体"/>
          <w:b/>
          <w:bCs/>
          <w:color w:val="auto"/>
          <w:kern w:val="0"/>
          <w:sz w:val="24"/>
          <w:highlight w:val="none"/>
        </w:rPr>
      </w:pPr>
    </w:p>
    <w:p w14:paraId="70AE5832">
      <w:pPr>
        <w:widowControl/>
        <w:wordWrap w:val="0"/>
        <w:snapToGrid w:val="0"/>
        <w:spacing w:line="460" w:lineRule="exact"/>
        <w:ind w:firstLine="482" w:firstLineChars="200"/>
        <w:jc w:val="center"/>
        <w:rPr>
          <w:rFonts w:ascii="宋体" w:hAnsi="宋体" w:cs="宋体"/>
          <w:b/>
          <w:bCs/>
          <w:color w:val="auto"/>
          <w:kern w:val="0"/>
          <w:sz w:val="24"/>
          <w:highlight w:val="none"/>
        </w:rPr>
      </w:pPr>
    </w:p>
    <w:p w14:paraId="3A194FDF">
      <w:pPr>
        <w:widowControl/>
        <w:wordWrap w:val="0"/>
        <w:snapToGrid w:val="0"/>
        <w:spacing w:line="460" w:lineRule="exact"/>
        <w:ind w:firstLine="482" w:firstLineChars="200"/>
        <w:jc w:val="center"/>
        <w:rPr>
          <w:rFonts w:ascii="宋体" w:hAnsi="宋体" w:cs="宋体"/>
          <w:b/>
          <w:bCs/>
          <w:color w:val="auto"/>
          <w:kern w:val="0"/>
          <w:sz w:val="24"/>
          <w:highlight w:val="none"/>
        </w:rPr>
      </w:pPr>
    </w:p>
    <w:p w14:paraId="208B5B2C">
      <w:pPr>
        <w:pStyle w:val="3"/>
        <w:rPr>
          <w:rFonts w:ascii="宋体" w:hAnsi="宋体" w:cs="宋体"/>
          <w:b/>
          <w:bCs/>
          <w:color w:val="auto"/>
          <w:kern w:val="0"/>
          <w:sz w:val="24"/>
          <w:highlight w:val="none"/>
        </w:rPr>
      </w:pPr>
    </w:p>
    <w:p w14:paraId="364D7FE3">
      <w:pPr>
        <w:pStyle w:val="48"/>
        <w:rPr>
          <w:rFonts w:hAnsi="宋体"/>
          <w:b/>
          <w:bCs/>
          <w:color w:val="auto"/>
          <w:highlight w:val="none"/>
        </w:rPr>
      </w:pPr>
    </w:p>
    <w:p w14:paraId="644497F1">
      <w:pPr>
        <w:pStyle w:val="48"/>
        <w:rPr>
          <w:rFonts w:hAnsi="宋体"/>
          <w:b/>
          <w:bCs/>
          <w:color w:val="auto"/>
          <w:highlight w:val="none"/>
        </w:rPr>
      </w:pPr>
    </w:p>
    <w:p w14:paraId="4287416C">
      <w:pPr>
        <w:rPr>
          <w:color w:val="auto"/>
          <w:highlight w:val="none"/>
        </w:rPr>
      </w:pPr>
      <w:r>
        <w:rPr>
          <w:rFonts w:hint="eastAsia"/>
          <w:color w:val="auto"/>
          <w:highlight w:val="none"/>
        </w:rPr>
        <w:br w:type="page"/>
      </w:r>
    </w:p>
    <w:p w14:paraId="2B16AB29">
      <w:pPr>
        <w:pStyle w:val="4"/>
        <w:rPr>
          <w:color w:val="auto"/>
          <w:highlight w:val="none"/>
        </w:rPr>
      </w:pPr>
    </w:p>
    <w:p w14:paraId="2E4B901C">
      <w:pPr>
        <w:pStyle w:val="5"/>
        <w:rPr>
          <w:color w:val="auto"/>
          <w:highlight w:val="none"/>
        </w:rPr>
      </w:pPr>
      <w:bookmarkStart w:id="61" w:name="_Toc24743"/>
      <w:bookmarkStart w:id="62" w:name="_Toc31798"/>
      <w:r>
        <w:rPr>
          <w:rFonts w:hint="eastAsia"/>
          <w:color w:val="auto"/>
          <w:highlight w:val="none"/>
        </w:rPr>
        <w:t>附件1               投标文件封面（格式）</w:t>
      </w:r>
      <w:bookmarkEnd w:id="61"/>
      <w:bookmarkEnd w:id="62"/>
    </w:p>
    <w:p w14:paraId="1D991425">
      <w:pPr>
        <w:widowControl/>
        <w:wordWrap w:val="0"/>
        <w:spacing w:line="460" w:lineRule="exact"/>
        <w:ind w:firstLine="482" w:firstLineChars="200"/>
        <w:jc w:val="center"/>
        <w:rPr>
          <w:rFonts w:ascii="宋体" w:hAnsi="宋体" w:cs="宋体"/>
          <w:b/>
          <w:color w:val="auto"/>
          <w:kern w:val="0"/>
          <w:sz w:val="24"/>
          <w:highlight w:val="none"/>
        </w:rPr>
      </w:pPr>
    </w:p>
    <w:p w14:paraId="22A1EFBA">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snapToGrid w:val="0"/>
          <w:color w:val="auto"/>
          <w:spacing w:val="0"/>
          <w:kern w:val="0"/>
          <w:sz w:val="44"/>
          <w:szCs w:val="44"/>
          <w:highlight w:val="none"/>
          <w:u w:val="none"/>
          <w:lang w:val="en-US" w:eastAsia="zh-CN"/>
        </w:rPr>
        <w:t>驻马店</w:t>
      </w:r>
      <w:r>
        <w:rPr>
          <w:rFonts w:hint="eastAsia" w:ascii="宋体" w:hAnsi="宋体" w:cs="宋体"/>
          <w:b/>
          <w:snapToGrid w:val="0"/>
          <w:color w:val="auto"/>
          <w:spacing w:val="0"/>
          <w:kern w:val="0"/>
          <w:sz w:val="44"/>
          <w:szCs w:val="44"/>
          <w:highlight w:val="none"/>
          <w:u w:val="none"/>
          <w:lang w:val="en-US" w:eastAsia="zh-CN"/>
        </w:rPr>
        <w:t>市</w:t>
      </w:r>
      <w:r>
        <w:rPr>
          <w:rFonts w:hint="eastAsia" w:ascii="宋体" w:hAnsi="宋体" w:eastAsia="宋体" w:cs="宋体"/>
          <w:b/>
          <w:snapToGrid w:val="0"/>
          <w:color w:val="auto"/>
          <w:spacing w:val="0"/>
          <w:kern w:val="0"/>
          <w:sz w:val="44"/>
          <w:szCs w:val="44"/>
          <w:highlight w:val="none"/>
          <w:u w:val="none"/>
          <w:lang w:val="en-US" w:eastAsia="zh-CN"/>
        </w:rPr>
        <w:t>中心医院</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14:paraId="5B1C95DF">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color w:val="auto"/>
          <w:spacing w:val="90"/>
          <w:sz w:val="52"/>
          <w:szCs w:val="52"/>
          <w:highlight w:val="none"/>
        </w:rPr>
        <w:t>投标文件</w:t>
      </w:r>
    </w:p>
    <w:p w14:paraId="7FE32B5A">
      <w:pPr>
        <w:spacing w:line="360" w:lineRule="auto"/>
        <w:rPr>
          <w:rFonts w:hint="eastAsia" w:ascii="宋体" w:hAnsi="宋体" w:eastAsia="宋体" w:cs="宋体"/>
          <w:color w:val="auto"/>
          <w:sz w:val="28"/>
          <w:highlight w:val="none"/>
        </w:rPr>
      </w:pPr>
    </w:p>
    <w:p w14:paraId="2BC5F0E8">
      <w:pPr>
        <w:pStyle w:val="48"/>
        <w:spacing w:line="360" w:lineRule="auto"/>
        <w:rPr>
          <w:rFonts w:hint="eastAsia" w:ascii="宋体" w:hAnsi="宋体" w:eastAsia="宋体" w:cs="宋体"/>
          <w:color w:val="auto"/>
          <w:highlight w:val="none"/>
        </w:rPr>
      </w:pPr>
    </w:p>
    <w:p w14:paraId="770CBD99">
      <w:pPr>
        <w:pStyle w:val="48"/>
        <w:spacing w:line="360" w:lineRule="auto"/>
        <w:rPr>
          <w:rFonts w:hint="eastAsia" w:ascii="宋体" w:hAnsi="宋体" w:eastAsia="宋体" w:cs="宋体"/>
          <w:color w:val="auto"/>
          <w:highlight w:val="none"/>
        </w:rPr>
      </w:pPr>
    </w:p>
    <w:p w14:paraId="6E11D8CB">
      <w:pPr>
        <w:spacing w:line="360" w:lineRule="auto"/>
        <w:rPr>
          <w:rFonts w:hint="eastAsia" w:ascii="宋体" w:hAnsi="宋体" w:eastAsia="宋体" w:cs="宋体"/>
          <w:color w:val="auto"/>
          <w:sz w:val="28"/>
          <w:highlight w:val="none"/>
        </w:rPr>
      </w:pPr>
    </w:p>
    <w:p w14:paraId="1FF879EF">
      <w:pPr>
        <w:spacing w:line="360" w:lineRule="auto"/>
        <w:rPr>
          <w:rFonts w:hint="eastAsia" w:ascii="宋体" w:hAnsi="宋体" w:eastAsia="宋体" w:cs="宋体"/>
          <w:color w:val="auto"/>
          <w:sz w:val="28"/>
          <w:highlight w:val="none"/>
        </w:rPr>
      </w:pPr>
    </w:p>
    <w:p w14:paraId="42ABB623">
      <w:pPr>
        <w:spacing w:line="360" w:lineRule="auto"/>
        <w:rPr>
          <w:rFonts w:hint="eastAsia" w:ascii="宋体" w:hAnsi="宋体" w:eastAsia="宋体" w:cs="宋体"/>
          <w:color w:val="auto"/>
          <w:sz w:val="28"/>
          <w:highlight w:val="none"/>
        </w:rPr>
      </w:pPr>
    </w:p>
    <w:p w14:paraId="5E00FB36">
      <w:pPr>
        <w:spacing w:line="360" w:lineRule="auto"/>
        <w:rPr>
          <w:rFonts w:hint="eastAsia" w:ascii="宋体" w:hAnsi="宋体" w:eastAsia="宋体" w:cs="宋体"/>
          <w:color w:val="auto"/>
          <w:sz w:val="28"/>
          <w:highlight w:val="none"/>
        </w:rPr>
      </w:pPr>
    </w:p>
    <w:p w14:paraId="19A43D1F">
      <w:pPr>
        <w:spacing w:line="360" w:lineRule="auto"/>
        <w:rPr>
          <w:rFonts w:hint="eastAsia" w:ascii="宋体" w:hAnsi="宋体" w:eastAsia="宋体" w:cs="宋体"/>
          <w:color w:val="auto"/>
          <w:sz w:val="28"/>
          <w:highlight w:val="none"/>
        </w:rPr>
      </w:pPr>
    </w:p>
    <w:p w14:paraId="33FEE57D">
      <w:pPr>
        <w:spacing w:line="360" w:lineRule="auto"/>
        <w:rPr>
          <w:rFonts w:hint="eastAsia" w:ascii="宋体" w:hAnsi="宋体" w:eastAsia="宋体" w:cs="宋体"/>
          <w:color w:val="auto"/>
          <w:sz w:val="28"/>
          <w:highlight w:val="none"/>
        </w:rPr>
      </w:pPr>
    </w:p>
    <w:p w14:paraId="120EC041">
      <w:pPr>
        <w:spacing w:line="360" w:lineRule="auto"/>
        <w:jc w:val="center"/>
        <w:rPr>
          <w:rFonts w:hint="eastAsia" w:ascii="宋体" w:hAnsi="宋体" w:eastAsia="宋体" w:cs="宋体"/>
          <w:color w:val="auto"/>
          <w:sz w:val="28"/>
          <w:szCs w:val="28"/>
          <w:highlight w:val="none"/>
        </w:rPr>
      </w:pPr>
      <w:r>
        <w:rPr>
          <w:rFonts w:hint="eastAsia" w:ascii="宋体" w:hAnsi="宋体" w:cs="宋体"/>
          <w:color w:val="auto"/>
          <w:sz w:val="28"/>
          <w:szCs w:val="28"/>
          <w:highlight w:val="none"/>
          <w:lang w:eastAsia="zh-CN"/>
        </w:rPr>
        <w:t>供应商</w:t>
      </w:r>
      <w:r>
        <w:rPr>
          <w:rFonts w:hint="eastAsia" w:ascii="宋体" w:hAnsi="宋体" w:eastAsia="宋体" w:cs="宋体"/>
          <w:color w:val="auto"/>
          <w:sz w:val="28"/>
          <w:szCs w:val="28"/>
          <w:highlight w:val="none"/>
        </w:rPr>
        <w:t>：（</w:t>
      </w:r>
      <w:r>
        <w:rPr>
          <w:rFonts w:hint="eastAsia" w:ascii="宋体" w:hAnsi="宋体" w:cs="宋体"/>
          <w:color w:val="auto"/>
          <w:sz w:val="28"/>
          <w:szCs w:val="28"/>
          <w:highlight w:val="none"/>
          <w:lang w:eastAsia="zh-CN"/>
        </w:rPr>
        <w:t>全称并</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14:paraId="5ECCBB08">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cs="宋体"/>
          <w:color w:val="auto"/>
          <w:sz w:val="28"/>
          <w:szCs w:val="28"/>
          <w:highlight w:val="none"/>
          <w:lang w:val="en-US" w:eastAsia="zh-CN"/>
        </w:rPr>
        <w:t>签字或</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14:paraId="1BC6800F">
      <w:pPr>
        <w:widowControl/>
        <w:wordWrap w:val="0"/>
        <w:spacing w:line="460" w:lineRule="exact"/>
        <w:ind w:left="0" w:leftChars="0" w:firstLine="0" w:firstLineChars="0"/>
        <w:jc w:val="center"/>
        <w:rPr>
          <w:rFonts w:ascii="宋体" w:hAnsi="宋体" w:cs="宋体"/>
          <w:b/>
          <w:color w:val="auto"/>
          <w:kern w:val="0"/>
          <w:sz w:val="24"/>
          <w:highlight w:val="none"/>
        </w:rPr>
      </w:pPr>
      <w:r>
        <w:rPr>
          <w:rFonts w:hint="eastAsia" w:ascii="宋体" w:hAnsi="宋体" w:eastAsia="宋体" w:cs="宋体"/>
          <w:color w:val="auto"/>
          <w:sz w:val="28"/>
          <w:szCs w:val="28"/>
          <w:highlight w:val="none"/>
        </w:rPr>
        <w:t>年   月   日</w:t>
      </w:r>
    </w:p>
    <w:p w14:paraId="0C488862">
      <w:pPr>
        <w:widowControl/>
        <w:wordWrap w:val="0"/>
        <w:spacing w:line="460" w:lineRule="exact"/>
        <w:ind w:firstLine="482" w:firstLineChars="200"/>
        <w:jc w:val="left"/>
        <w:rPr>
          <w:rFonts w:ascii="宋体" w:hAnsi="宋体" w:cs="宋体"/>
          <w:b/>
          <w:color w:val="auto"/>
          <w:kern w:val="0"/>
          <w:sz w:val="24"/>
          <w:highlight w:val="none"/>
        </w:rPr>
      </w:pPr>
    </w:p>
    <w:p w14:paraId="3BA4FBC7">
      <w:pPr>
        <w:pStyle w:val="3"/>
        <w:rPr>
          <w:rFonts w:ascii="宋体" w:hAnsi="宋体" w:cs="宋体"/>
          <w:b/>
          <w:color w:val="auto"/>
          <w:kern w:val="0"/>
          <w:sz w:val="24"/>
          <w:highlight w:val="none"/>
        </w:rPr>
      </w:pPr>
    </w:p>
    <w:p w14:paraId="07BF6840">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14:paraId="5D046EFF">
      <w:pPr>
        <w:rPr>
          <w:color w:val="auto"/>
          <w:highlight w:val="none"/>
        </w:rPr>
      </w:pPr>
    </w:p>
    <w:p w14:paraId="07E4EB17">
      <w:pPr>
        <w:pStyle w:val="5"/>
        <w:rPr>
          <w:color w:val="auto"/>
          <w:highlight w:val="none"/>
        </w:rPr>
      </w:pPr>
      <w:bookmarkStart w:id="63" w:name="_Toc8818"/>
      <w:bookmarkStart w:id="64" w:name="_Toc14560"/>
      <w:r>
        <w:rPr>
          <w:rFonts w:hint="eastAsia"/>
          <w:color w:val="auto"/>
          <w:highlight w:val="none"/>
        </w:rPr>
        <w:t>附件2               投  标  书（格式）</w:t>
      </w:r>
      <w:bookmarkEnd w:id="63"/>
      <w:bookmarkEnd w:id="64"/>
    </w:p>
    <w:p w14:paraId="5690C885">
      <w:pPr>
        <w:widowControl/>
        <w:wordWrap w:val="0"/>
        <w:snapToGrid w:val="0"/>
        <w:spacing w:line="46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致：</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采购人</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w:t>
      </w:r>
    </w:p>
    <w:p w14:paraId="7CF86A5A">
      <w:pPr>
        <w:widowControl/>
        <w:wordWrap w:val="0"/>
        <w:spacing w:line="460" w:lineRule="exact"/>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single"/>
        </w:rPr>
        <w:t>（</w:t>
      </w:r>
      <w:r>
        <w:rPr>
          <w:rFonts w:hint="eastAsia" w:ascii="宋体" w:hAnsi="宋体" w:cs="宋体"/>
          <w:color w:val="auto"/>
          <w:kern w:val="0"/>
          <w:szCs w:val="21"/>
          <w:highlight w:val="none"/>
          <w:u w:val="single"/>
          <w:lang w:eastAsia="zh-CN"/>
        </w:rPr>
        <w:t>供应商</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 xml:space="preserve">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（姓名）为我方代理人，参加贵方组织的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项目的投标。现正式提交下述文件1份：</w:t>
      </w:r>
    </w:p>
    <w:p w14:paraId="006364E6">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1、开标一览表。</w:t>
      </w:r>
    </w:p>
    <w:p w14:paraId="2C8DA944">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2、报价明细表。</w:t>
      </w:r>
    </w:p>
    <w:p w14:paraId="2EBDF686">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4、技术响应表。</w:t>
      </w:r>
    </w:p>
    <w:p w14:paraId="620E70BF">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4、商务响应表。</w:t>
      </w:r>
    </w:p>
    <w:p w14:paraId="6FF994A3">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5、证明文件。</w:t>
      </w:r>
    </w:p>
    <w:p w14:paraId="3C68BCF0">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6、抵制商业贿赂承诺。为便于贵方公正、择优地确定中标供应商及其投标产品和服务，我方就本次投标有关事项郑重声明并宣布同意如下：</w:t>
      </w:r>
    </w:p>
    <w:p w14:paraId="4785C7E1">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1、我方承诺已经具备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文件中规定的参加政府采购活动的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应当具备的条件。我方愿意向贵方提供任何与本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项目投标有关的数据、情况和技术资料，并根据需要提供一切承诺的证明材料，并保证其真实、合法、有效。</w:t>
      </w:r>
    </w:p>
    <w:p w14:paraId="465526AB">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2、我方承诺在投标活动中提供的各种材料真实有效。</w:t>
      </w:r>
    </w:p>
    <w:p w14:paraId="3DD149DA">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3、我方同意在投标文件有效期内遵守本投标文件中的承诺且在此期限期满之前均具有约束力。如果我方中标，投标文件有效期与合同履行期相同。</w:t>
      </w:r>
    </w:p>
    <w:p w14:paraId="32E1B56A">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4、我方已详细审查全部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文件，包括修改文件（如有的话）和有关附件，将自行承担因对全部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文件理解不正确或误解而产生的相应后果。</w:t>
      </w:r>
    </w:p>
    <w:p w14:paraId="09D71BD3">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5、我方保证尊重</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的评标结果，完全理解本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项目最低投标价不作为中标的保证。</w:t>
      </w:r>
    </w:p>
    <w:p w14:paraId="4ED2CB00">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6、我方理解并遵守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文件的全部规定，接受</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文件中政府采购合同的全部条款且无任何异议。</w:t>
      </w:r>
    </w:p>
    <w:p w14:paraId="338CFEAB">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7、如果我方代表</w:t>
      </w:r>
      <w:r>
        <w:rPr>
          <w:rFonts w:hint="eastAsia" w:ascii="宋体" w:hAnsi="宋体" w:cs="宋体"/>
          <w:bCs/>
          <w:color w:val="auto"/>
          <w:kern w:val="0"/>
          <w:szCs w:val="21"/>
          <w:highlight w:val="none"/>
        </w:rPr>
        <w:t>未按时参加开标的，视同放弃开标监督权利，认可开标结果。</w:t>
      </w:r>
    </w:p>
    <w:p w14:paraId="688DDBF1">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8、如果我方存在</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须知第9.3项所述情况，同意被认定为在经营活动中有重大违法记录。</w:t>
      </w:r>
    </w:p>
    <w:p w14:paraId="457656EE">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9、如果发生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.4.3项所述情况，同意我方投标被作为无效投标处理。</w:t>
      </w:r>
    </w:p>
    <w:p w14:paraId="2BDDE5C4">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10、如果发生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.5项所述情况，同意</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认定我方的行为属于串通投标的行为，并自愿接受监管部门的处罚。</w:t>
      </w:r>
    </w:p>
    <w:p w14:paraId="58C1B5CF">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11、如果现场变更采购方式，我方同意在不改变</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需求、资质条件等情况下，按变更后的采购方式的规定程序进行采购。</w:t>
      </w:r>
    </w:p>
    <w:p w14:paraId="2D605C0F">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12、如果被确定为中标供应商，我方同意按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并缴纳服务费。否则，视为我方中标后自动放弃中标资格，承担由此引起的一切后果。</w:t>
      </w:r>
    </w:p>
    <w:p w14:paraId="3A10A517">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13、如果被确定为中标供应商，我方同意在领取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之日起</w:t>
      </w:r>
      <w:r>
        <w:rPr>
          <w:rFonts w:hint="eastAsia" w:ascii="宋体" w:hAnsi="宋体" w:cs="宋体"/>
          <w:color w:val="auto"/>
          <w:kern w:val="0"/>
          <w:szCs w:val="21"/>
          <w:highlight w:val="none"/>
          <w:u w:val="single"/>
          <w:lang w:val="en-US" w:eastAsia="zh-CN"/>
        </w:rPr>
        <w:t xml:space="preserve"> 30  </w:t>
      </w:r>
      <w:r>
        <w:rPr>
          <w:rFonts w:hint="eastAsia" w:ascii="宋体" w:hAnsi="宋体" w:cs="宋体"/>
          <w:color w:val="auto"/>
          <w:kern w:val="0"/>
          <w:szCs w:val="21"/>
          <w:highlight w:val="none"/>
        </w:rPr>
        <w:t>日内，按照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文件的规定与采购人签订采购合同。否则，视为我方中标后无正当理由不与采购人签订合同并承担相应法律责任。</w:t>
      </w:r>
    </w:p>
    <w:p w14:paraId="7C610401">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14、我方最近3年内的被公开披露或查处的违法违规行为有：</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w:t>
      </w:r>
    </w:p>
    <w:p w14:paraId="3652B0B4">
      <w:pPr>
        <w:widowControl/>
        <w:tabs>
          <w:tab w:val="left" w:pos="939"/>
        </w:tabs>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15、以上事项如有虚假或隐瞒，我方愿意承担一切后果和责任。</w:t>
      </w:r>
    </w:p>
    <w:p w14:paraId="409FC8D8">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16、与本投标有关的一切正式往来通讯请寄（地址电话必须为最新并可以联系到）：</w:t>
      </w:r>
    </w:p>
    <w:p w14:paraId="40499CC4">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地址：  邮编：</w:t>
      </w:r>
    </w:p>
    <w:p w14:paraId="53DD09F8">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电话：  传真： </w:t>
      </w:r>
    </w:p>
    <w:p w14:paraId="0752763E">
      <w:pPr>
        <w:widowControl/>
        <w:wordWrap w:val="0"/>
        <w:spacing w:line="460" w:lineRule="exact"/>
        <w:ind w:firstLine="420" w:firstLineChars="200"/>
        <w:jc w:val="left"/>
        <w:rPr>
          <w:rFonts w:ascii="宋体" w:hAnsi="宋体" w:cs="宋体"/>
          <w:color w:val="auto"/>
          <w:kern w:val="0"/>
          <w:szCs w:val="21"/>
          <w:highlight w:val="none"/>
        </w:rPr>
      </w:pPr>
    </w:p>
    <w:p w14:paraId="6ABA044F">
      <w:pPr>
        <w:widowControl/>
        <w:wordWrap w:val="0"/>
        <w:spacing w:line="460" w:lineRule="exact"/>
        <w:ind w:firstLine="735" w:firstLineChars="350"/>
        <w:jc w:val="left"/>
        <w:rPr>
          <w:rFonts w:ascii="宋体" w:hAnsi="宋体" w:cs="宋体"/>
          <w:color w:val="auto"/>
          <w:kern w:val="0"/>
          <w:szCs w:val="21"/>
          <w:highlight w:val="none"/>
          <w:u w:val="singl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w:t>
      </w:r>
      <w:r>
        <w:rPr>
          <w:rFonts w:hint="eastAsia" w:ascii="宋体" w:hAnsi="宋体" w:cs="宋体"/>
          <w:color w:val="auto"/>
          <w:kern w:val="0"/>
          <w:szCs w:val="21"/>
          <w:highlight w:val="none"/>
          <w:lang w:val="en-US" w:eastAsia="zh-CN"/>
        </w:rPr>
        <w:t>或盖章</w:t>
      </w:r>
      <w:r>
        <w:rPr>
          <w:rFonts w:hint="eastAsia" w:ascii="宋体" w:hAnsi="宋体" w:cs="宋体"/>
          <w:color w:val="auto"/>
          <w:kern w:val="0"/>
          <w:szCs w:val="21"/>
          <w:highlight w:val="none"/>
        </w:rPr>
        <w:t xml:space="preserve">： </w:t>
      </w:r>
    </w:p>
    <w:p w14:paraId="2FF7D367">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：（全称并加盖公章）</w:t>
      </w:r>
    </w:p>
    <w:p w14:paraId="78DC89D3">
      <w:pPr>
        <w:widowControl/>
        <w:wordWrap w:val="0"/>
        <w:spacing w:line="460" w:lineRule="exact"/>
        <w:ind w:firstLine="420" w:firstLineChars="200"/>
        <w:jc w:val="left"/>
        <w:rPr>
          <w:rFonts w:ascii="宋体" w:hAnsi="宋体" w:cs="宋体"/>
          <w:color w:val="auto"/>
          <w:kern w:val="0"/>
          <w:szCs w:val="21"/>
          <w:highlight w:val="none"/>
        </w:rPr>
      </w:pPr>
    </w:p>
    <w:p w14:paraId="23267360">
      <w:pPr>
        <w:widowControl/>
        <w:snapToGrid w:val="0"/>
        <w:spacing w:line="460" w:lineRule="exact"/>
        <w:ind w:firstLine="3360" w:firstLineChars="1600"/>
        <w:rPr>
          <w:rFonts w:ascii="宋体" w:hAnsi="宋体" w:cs="宋体"/>
          <w:color w:val="auto"/>
          <w:kern w:val="0"/>
          <w:sz w:val="24"/>
          <w:highlight w:val="none"/>
        </w:rPr>
      </w:pPr>
      <w:r>
        <w:rPr>
          <w:rFonts w:hint="eastAsia" w:ascii="宋体" w:hAnsi="宋体" w:cs="宋体"/>
          <w:color w:val="auto"/>
          <w:kern w:val="0"/>
          <w:szCs w:val="21"/>
          <w:highlight w:val="none"/>
        </w:rPr>
        <w:t xml:space="preserve">年    月   日 </w:t>
      </w:r>
    </w:p>
    <w:p w14:paraId="74ED831B">
      <w:pPr>
        <w:widowControl/>
        <w:wordWrap w:val="0"/>
        <w:snapToGrid w:val="0"/>
        <w:spacing w:before="50" w:after="50" w:line="480" w:lineRule="auto"/>
        <w:jc w:val="left"/>
        <w:rPr>
          <w:rFonts w:ascii="宋体" w:hAnsi="宋体" w:cs="宋体"/>
          <w:b/>
          <w:color w:val="auto"/>
          <w:kern w:val="0"/>
          <w:sz w:val="24"/>
          <w:highlight w:val="none"/>
        </w:rPr>
      </w:pPr>
    </w:p>
    <w:p w14:paraId="628FBABF">
      <w:pPr>
        <w:widowControl/>
        <w:wordWrap w:val="0"/>
        <w:snapToGrid w:val="0"/>
        <w:spacing w:before="50" w:after="50" w:line="480" w:lineRule="auto"/>
        <w:jc w:val="left"/>
        <w:rPr>
          <w:rFonts w:ascii="宋体" w:hAnsi="宋体" w:cs="宋体"/>
          <w:b/>
          <w:color w:val="auto"/>
          <w:kern w:val="0"/>
          <w:sz w:val="24"/>
          <w:highlight w:val="none"/>
        </w:rPr>
      </w:pPr>
    </w:p>
    <w:p w14:paraId="39A98483">
      <w:pPr>
        <w:spacing w:line="500" w:lineRule="exact"/>
        <w:jc w:val="center"/>
        <w:rPr>
          <w:rFonts w:ascii="宋体" w:hAnsi="宋体"/>
          <w:b/>
          <w:bCs/>
          <w:color w:val="auto"/>
          <w:sz w:val="24"/>
          <w:highlight w:val="none"/>
        </w:rPr>
      </w:pPr>
    </w:p>
    <w:p w14:paraId="72F42615">
      <w:pPr>
        <w:rPr>
          <w:color w:val="auto"/>
          <w:sz w:val="28"/>
          <w:szCs w:val="28"/>
          <w:highlight w:val="none"/>
        </w:rPr>
      </w:pPr>
      <w:r>
        <w:rPr>
          <w:rFonts w:hint="eastAsia"/>
          <w:color w:val="auto"/>
          <w:sz w:val="28"/>
          <w:szCs w:val="28"/>
          <w:highlight w:val="none"/>
        </w:rPr>
        <w:br w:type="page"/>
      </w:r>
    </w:p>
    <w:p w14:paraId="754D1318">
      <w:pPr>
        <w:rPr>
          <w:color w:val="auto"/>
          <w:highlight w:val="none"/>
        </w:rPr>
      </w:pPr>
    </w:p>
    <w:p w14:paraId="281E0D7F">
      <w:pPr>
        <w:pStyle w:val="5"/>
        <w:spacing w:before="20" w:after="20"/>
        <w:rPr>
          <w:color w:val="auto"/>
          <w:highlight w:val="none"/>
        </w:rPr>
      </w:pPr>
      <w:bookmarkStart w:id="65" w:name="_Toc7838"/>
      <w:r>
        <w:rPr>
          <w:rFonts w:hint="eastAsia"/>
          <w:color w:val="auto"/>
          <w:highlight w:val="none"/>
        </w:rPr>
        <w:t>附件3               开标一览表</w:t>
      </w:r>
      <w:bookmarkEnd w:id="65"/>
      <w:r>
        <w:rPr>
          <w:rFonts w:hint="eastAsia"/>
          <w:color w:val="auto"/>
          <w:highlight w:val="none"/>
        </w:rPr>
        <w:t>（格式）</w:t>
      </w:r>
    </w:p>
    <w:p w14:paraId="310F5F5F">
      <w:pPr>
        <w:spacing w:line="239" w:lineRule="auto"/>
        <w:jc w:val="right"/>
        <w:rPr>
          <w:rFonts w:hint="default" w:ascii="宋体" w:hAnsi="宋体"/>
          <w:color w:val="auto"/>
          <w:sz w:val="24"/>
          <w:highlight w:val="none"/>
          <w:lang w:val="en-US"/>
        </w:rPr>
      </w:pPr>
      <w:r>
        <w:rPr>
          <w:rFonts w:ascii="宋体" w:hAnsi="宋体"/>
          <w:color w:val="auto"/>
          <w:sz w:val="24"/>
          <w:highlight w:val="none"/>
        </w:rPr>
        <w:t>单位：人民币</w:t>
      </w:r>
      <w:r>
        <w:rPr>
          <w:rFonts w:hint="eastAsia"/>
          <w:sz w:val="24"/>
          <w:lang w:val="en-US" w:eastAsia="zh-CN"/>
        </w:rPr>
        <w:t>元</w:t>
      </w:r>
    </w:p>
    <w:p w14:paraId="30A80B6D">
      <w:pPr>
        <w:rPr>
          <w:color w:val="auto"/>
          <w:highlight w:val="none"/>
        </w:rPr>
      </w:pPr>
    </w:p>
    <w:tbl>
      <w:tblPr>
        <w:tblStyle w:val="32"/>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14:paraId="1128F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3B2D589F">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项目名称</w:t>
            </w:r>
          </w:p>
        </w:tc>
        <w:tc>
          <w:tcPr>
            <w:tcW w:w="7708" w:type="dxa"/>
            <w:noWrap/>
            <w:vAlign w:val="center"/>
          </w:tcPr>
          <w:p w14:paraId="6A8C1C5A">
            <w:pPr>
              <w:rPr>
                <w:rFonts w:ascii="宋体" w:hAnsi="宋体"/>
                <w:bCs/>
                <w:color w:val="auto"/>
                <w:szCs w:val="21"/>
                <w:highlight w:val="none"/>
              </w:rPr>
            </w:pPr>
          </w:p>
        </w:tc>
      </w:tr>
      <w:tr w14:paraId="0BC60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631F2549">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名称</w:t>
            </w:r>
          </w:p>
        </w:tc>
        <w:tc>
          <w:tcPr>
            <w:tcW w:w="7708" w:type="dxa"/>
            <w:noWrap/>
            <w:vAlign w:val="center"/>
          </w:tcPr>
          <w:p w14:paraId="53E94E78">
            <w:pPr>
              <w:rPr>
                <w:rFonts w:ascii="宋体" w:hAnsi="宋体"/>
                <w:color w:val="auto"/>
                <w:szCs w:val="21"/>
                <w:highlight w:val="none"/>
              </w:rPr>
            </w:pPr>
          </w:p>
        </w:tc>
      </w:tr>
      <w:tr w14:paraId="09E7B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1978" w:type="dxa"/>
            <w:noWrap/>
            <w:vAlign w:val="center"/>
          </w:tcPr>
          <w:p w14:paraId="5A110E3E">
            <w:pPr>
              <w:jc w:val="center"/>
              <w:rPr>
                <w:rFonts w:ascii="宋体" w:hAnsi="宋体"/>
                <w:color w:val="auto"/>
                <w:spacing w:val="-20"/>
                <w:szCs w:val="21"/>
                <w:highlight w:val="none"/>
              </w:rPr>
            </w:pPr>
            <w:r>
              <w:rPr>
                <w:rFonts w:hint="eastAsia" w:ascii="宋体" w:hAnsi="宋体"/>
                <w:color w:val="auto"/>
                <w:szCs w:val="21"/>
                <w:highlight w:val="none"/>
              </w:rPr>
              <w:t>投标报价</w:t>
            </w:r>
          </w:p>
        </w:tc>
        <w:tc>
          <w:tcPr>
            <w:tcW w:w="7708" w:type="dxa"/>
            <w:noWrap/>
            <w:vAlign w:val="center"/>
          </w:tcPr>
          <w:p w14:paraId="34A5B852">
            <w:pP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大写：</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lang w:val="en-US" w:eastAsia="zh-CN"/>
              </w:rPr>
              <w:t xml:space="preserve">        </w:t>
            </w:r>
          </w:p>
          <w:p w14:paraId="3680DED2">
            <w:pP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小写：</w:t>
            </w:r>
            <w:r>
              <w:rPr>
                <w:rFonts w:hint="eastAsia" w:ascii="宋体" w:hAnsi="宋体"/>
                <w:color w:val="auto"/>
                <w:szCs w:val="21"/>
                <w:highlight w:val="none"/>
                <w:u w:val="single"/>
                <w:lang w:val="en-US" w:eastAsia="zh-CN"/>
              </w:rPr>
              <w:t xml:space="preserve">        </w:t>
            </w:r>
            <w:r>
              <w:rPr>
                <w:rFonts w:hint="eastAsia" w:ascii="宋体" w:hAnsi="宋体"/>
                <w:color w:val="auto"/>
                <w:sz w:val="21"/>
                <w:szCs w:val="21"/>
                <w:highlight w:val="none"/>
                <w:u w:val="single"/>
                <w:lang w:val="en-US" w:eastAsia="zh-CN"/>
              </w:rPr>
              <w:t xml:space="preserve"> </w:t>
            </w:r>
          </w:p>
        </w:tc>
      </w:tr>
      <w:tr w14:paraId="25FE7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0BA40456">
            <w:pPr>
              <w:widowControl/>
              <w:snapToGrid w:val="0"/>
              <w:spacing w:before="50" w:after="50"/>
              <w:jc w:val="center"/>
              <w:rPr>
                <w:rFonts w:hint="eastAsia" w:ascii="宋体" w:hAnsi="宋体" w:cs="宋体"/>
                <w:color w:val="auto"/>
                <w:kern w:val="0"/>
                <w:szCs w:val="21"/>
                <w:highlight w:val="none"/>
                <w:lang w:val="en-US" w:eastAsia="zh-CN"/>
              </w:rPr>
            </w:pPr>
            <w:r>
              <w:rPr>
                <w:rFonts w:hint="eastAsia" w:ascii="宋体" w:hAnsi="宋体"/>
                <w:color w:val="000000" w:themeColor="text1"/>
                <w:szCs w:val="21"/>
                <w:highlight w:val="none"/>
                <w:lang w:val="en-US" w:eastAsia="zh-CN"/>
                <w14:textFill>
                  <w14:solidFill>
                    <w14:schemeClr w14:val="tx1"/>
                  </w14:solidFill>
                </w14:textFill>
              </w:rPr>
              <w:t>交货期</w:t>
            </w:r>
          </w:p>
        </w:tc>
        <w:tc>
          <w:tcPr>
            <w:tcW w:w="7708" w:type="dxa"/>
            <w:noWrap/>
            <w:vAlign w:val="bottom"/>
          </w:tcPr>
          <w:p w14:paraId="1BE7F243">
            <w:pPr>
              <w:spacing w:line="360" w:lineRule="auto"/>
              <w:ind w:firstLine="1155" w:firstLineChars="550"/>
              <w:rPr>
                <w:rFonts w:ascii="宋体" w:hAnsi="宋体"/>
                <w:color w:val="auto"/>
                <w:szCs w:val="21"/>
                <w:highlight w:val="none"/>
              </w:rPr>
            </w:pPr>
          </w:p>
        </w:tc>
      </w:tr>
      <w:tr w14:paraId="4CC0A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4FDB3D04">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lang w:val="en-US" w:eastAsia="zh-CN"/>
              </w:rPr>
              <w:t>交货地点</w:t>
            </w:r>
          </w:p>
        </w:tc>
        <w:tc>
          <w:tcPr>
            <w:tcW w:w="7708" w:type="dxa"/>
            <w:noWrap/>
            <w:vAlign w:val="bottom"/>
          </w:tcPr>
          <w:p w14:paraId="588DA26F">
            <w:pPr>
              <w:spacing w:line="360" w:lineRule="auto"/>
              <w:ind w:firstLine="1155" w:firstLineChars="550"/>
              <w:rPr>
                <w:rFonts w:ascii="宋体" w:hAnsi="宋体"/>
                <w:color w:val="auto"/>
                <w:szCs w:val="21"/>
                <w:highlight w:val="none"/>
              </w:rPr>
            </w:pPr>
          </w:p>
        </w:tc>
      </w:tr>
      <w:tr w14:paraId="16E0B2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6AC6CB23">
            <w:pPr>
              <w:jc w:val="center"/>
              <w:rPr>
                <w:rFonts w:hint="eastAsia" w:ascii="宋体" w:hAnsi="宋体" w:eastAsia="宋体"/>
                <w:color w:val="auto"/>
                <w:szCs w:val="21"/>
                <w:highlight w:val="none"/>
                <w:lang w:eastAsia="zh-CN"/>
              </w:rPr>
            </w:pPr>
            <w:r>
              <w:rPr>
                <w:rFonts w:hint="eastAsia" w:ascii="宋体" w:hAnsi="宋体"/>
                <w:color w:val="000000" w:themeColor="text1"/>
                <w:szCs w:val="21"/>
                <w:highlight w:val="none"/>
                <w:lang w:val="en-US" w:eastAsia="zh-CN"/>
                <w14:textFill>
                  <w14:solidFill>
                    <w14:schemeClr w14:val="tx1"/>
                  </w14:solidFill>
                </w14:textFill>
              </w:rPr>
              <w:t>质量</w:t>
            </w:r>
          </w:p>
        </w:tc>
        <w:tc>
          <w:tcPr>
            <w:tcW w:w="7708" w:type="dxa"/>
            <w:noWrap/>
            <w:vAlign w:val="bottom"/>
          </w:tcPr>
          <w:p w14:paraId="7FC79E26">
            <w:pPr>
              <w:spacing w:line="360" w:lineRule="auto"/>
              <w:ind w:firstLine="1155" w:firstLineChars="550"/>
              <w:rPr>
                <w:rFonts w:ascii="宋体" w:hAnsi="宋体"/>
                <w:color w:val="auto"/>
                <w:szCs w:val="21"/>
                <w:highlight w:val="none"/>
                <w:u w:val="single"/>
              </w:rPr>
            </w:pPr>
          </w:p>
        </w:tc>
      </w:tr>
      <w:tr w14:paraId="29C46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1C9FBC17">
            <w:pPr>
              <w:jc w:val="center"/>
              <w:rPr>
                <w:rFonts w:hint="eastAsia" w:ascii="宋体" w:hAnsi="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质保期</w:t>
            </w:r>
          </w:p>
        </w:tc>
        <w:tc>
          <w:tcPr>
            <w:tcW w:w="7708" w:type="dxa"/>
            <w:noWrap/>
            <w:vAlign w:val="bottom"/>
          </w:tcPr>
          <w:p w14:paraId="2E0C1A27">
            <w:pPr>
              <w:spacing w:line="360" w:lineRule="auto"/>
              <w:ind w:firstLine="1155" w:firstLineChars="550"/>
              <w:rPr>
                <w:rFonts w:ascii="宋体" w:hAnsi="宋体"/>
                <w:color w:val="auto"/>
                <w:szCs w:val="21"/>
                <w:highlight w:val="none"/>
                <w:u w:val="single"/>
              </w:rPr>
            </w:pPr>
          </w:p>
        </w:tc>
      </w:tr>
      <w:tr w14:paraId="082AB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112065DC">
            <w:pPr>
              <w:jc w:val="center"/>
              <w:rPr>
                <w:rFonts w:ascii="宋体" w:hAnsi="宋体"/>
                <w:color w:val="auto"/>
                <w:szCs w:val="21"/>
                <w:highlight w:val="none"/>
              </w:rPr>
            </w:pPr>
            <w:r>
              <w:rPr>
                <w:rFonts w:hint="eastAsia" w:ascii="宋体" w:hAnsi="宋体"/>
                <w:color w:val="auto"/>
                <w:szCs w:val="21"/>
                <w:highlight w:val="none"/>
              </w:rPr>
              <w:t>备  注</w:t>
            </w:r>
          </w:p>
        </w:tc>
        <w:tc>
          <w:tcPr>
            <w:tcW w:w="7708" w:type="dxa"/>
            <w:noWrap/>
            <w:vAlign w:val="center"/>
          </w:tcPr>
          <w:p w14:paraId="36AEB06E">
            <w:pPr>
              <w:pStyle w:val="19"/>
              <w:ind w:left="0" w:leftChars="0"/>
              <w:rPr>
                <w:color w:val="auto"/>
                <w:sz w:val="21"/>
                <w:szCs w:val="21"/>
                <w:highlight w:val="none"/>
              </w:rPr>
            </w:pPr>
          </w:p>
        </w:tc>
      </w:tr>
    </w:tbl>
    <w:p w14:paraId="64514D52">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注: 1、报价一经涂改，应在涂改处加盖单位公章或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代表签字或盖章，否则其投标作无效标处理。</w:t>
      </w:r>
    </w:p>
    <w:p w14:paraId="756728FC">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2、以上报价应与“报价明细表”中的报价相一致。</w:t>
      </w:r>
    </w:p>
    <w:p w14:paraId="2B08D018">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3、凡认为所投产品符合价格折扣条件的，在相应的产品的“备注”栏内注明符合何种折扣条件。</w:t>
      </w:r>
    </w:p>
    <w:p w14:paraId="05E85220">
      <w:pPr>
        <w:spacing w:line="360" w:lineRule="auto"/>
        <w:ind w:firstLine="420" w:firstLineChars="200"/>
        <w:rPr>
          <w:color w:val="auto"/>
          <w:highlight w:val="none"/>
        </w:rPr>
      </w:pPr>
      <w:r>
        <w:rPr>
          <w:rFonts w:hint="eastAsia" w:ascii="宋体" w:hAnsi="宋体" w:cs="宋体"/>
          <w:color w:val="auto"/>
          <w:kern w:val="0"/>
          <w:szCs w:val="21"/>
          <w:highlight w:val="none"/>
        </w:rPr>
        <w:t>4、</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按格式填列，不得自行更改。否则引起的不利后果由</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承担。</w:t>
      </w:r>
    </w:p>
    <w:p w14:paraId="14D19DB6">
      <w:pPr>
        <w:spacing w:line="360" w:lineRule="auto"/>
        <w:ind w:firstLine="420" w:firstLineChars="200"/>
        <w:jc w:val="center"/>
        <w:rPr>
          <w:rFonts w:ascii="宋体" w:hAnsi="宋体"/>
          <w:color w:val="auto"/>
          <w:szCs w:val="21"/>
          <w:highlight w:val="none"/>
        </w:rPr>
      </w:pPr>
      <w:bookmarkStart w:id="66" w:name="_Toc20877"/>
      <w:bookmarkStart w:id="67" w:name="_Toc11620"/>
      <w:r>
        <w:rPr>
          <w:rFonts w:hint="eastAsia" w:ascii="宋体" w:hAnsi="宋体"/>
          <w:color w:val="auto"/>
          <w:szCs w:val="21"/>
          <w:highlight w:val="none"/>
          <w:lang w:eastAsia="zh-CN"/>
        </w:rPr>
        <w:t>供应商</w:t>
      </w:r>
      <w:r>
        <w:rPr>
          <w:rFonts w:hint="eastAsia" w:ascii="宋体" w:hAnsi="宋体"/>
          <w:color w:val="auto"/>
          <w:szCs w:val="21"/>
          <w:highlight w:val="none"/>
        </w:rPr>
        <w:t>（全称并加盖公章）：</w:t>
      </w:r>
      <w:bookmarkEnd w:id="66"/>
      <w:bookmarkEnd w:id="67"/>
    </w:p>
    <w:p w14:paraId="12154200">
      <w:pPr>
        <w:spacing w:line="360" w:lineRule="auto"/>
        <w:ind w:firstLine="420" w:firstLineChars="200"/>
        <w:jc w:val="center"/>
        <w:rPr>
          <w:rFonts w:ascii="宋体" w:hAnsi="宋体"/>
          <w:color w:val="auto"/>
          <w:szCs w:val="21"/>
          <w:highlight w:val="none"/>
          <w:u w:val="single"/>
        </w:rPr>
      </w:pPr>
      <w:bookmarkStart w:id="68" w:name="_Toc625"/>
      <w:bookmarkStart w:id="69" w:name="_Toc12222"/>
      <w:r>
        <w:rPr>
          <w:rFonts w:hint="eastAsia" w:ascii="宋体" w:hAnsi="宋体"/>
          <w:color w:val="auto"/>
          <w:szCs w:val="21"/>
          <w:highlight w:val="none"/>
        </w:rPr>
        <w:t>法定代表人或其委托代理人（签字</w:t>
      </w:r>
      <w:r>
        <w:rPr>
          <w:rFonts w:hint="eastAsia" w:ascii="宋体" w:hAnsi="宋体" w:cs="宋体"/>
          <w:color w:val="auto"/>
          <w:kern w:val="0"/>
          <w:szCs w:val="21"/>
          <w:highlight w:val="none"/>
          <w:lang w:val="en-US" w:eastAsia="zh-CN"/>
        </w:rPr>
        <w:t>或盖章</w:t>
      </w:r>
      <w:r>
        <w:rPr>
          <w:rFonts w:hint="eastAsia" w:ascii="宋体" w:hAnsi="宋体"/>
          <w:color w:val="auto"/>
          <w:szCs w:val="21"/>
          <w:highlight w:val="none"/>
        </w:rPr>
        <w:t>）：</w:t>
      </w:r>
      <w:bookmarkEnd w:id="68"/>
      <w:bookmarkEnd w:id="69"/>
    </w:p>
    <w:p w14:paraId="6D847D6A">
      <w:pPr>
        <w:jc w:val="center"/>
        <w:rPr>
          <w:rFonts w:ascii="宋体" w:hAnsi="宋体"/>
          <w:color w:val="auto"/>
          <w:szCs w:val="21"/>
          <w:highlight w:val="none"/>
        </w:rPr>
      </w:pPr>
    </w:p>
    <w:p w14:paraId="3D14F311">
      <w:pPr>
        <w:spacing w:line="360" w:lineRule="auto"/>
        <w:ind w:firstLine="420" w:firstLineChars="200"/>
        <w:jc w:val="center"/>
        <w:rPr>
          <w:color w:val="auto"/>
          <w:highlight w:val="none"/>
        </w:rPr>
      </w:pPr>
      <w:bookmarkStart w:id="70" w:name="_Toc1330"/>
      <w:bookmarkStart w:id="71" w:name="_Toc9950"/>
      <w:r>
        <w:rPr>
          <w:rFonts w:hint="eastAsia" w:ascii="宋体" w:hAnsi="宋体"/>
          <w:color w:val="auto"/>
          <w:szCs w:val="21"/>
          <w:highlight w:val="none"/>
        </w:rPr>
        <w:t>年  月  日</w:t>
      </w:r>
      <w:bookmarkEnd w:id="70"/>
      <w:bookmarkEnd w:id="71"/>
    </w:p>
    <w:p w14:paraId="64A031E8">
      <w:pPr>
        <w:rPr>
          <w:color w:val="auto"/>
          <w:highlight w:val="none"/>
        </w:rPr>
      </w:pPr>
    </w:p>
    <w:bookmarkEnd w:id="46"/>
    <w:bookmarkEnd w:id="47"/>
    <w:p w14:paraId="1556236D">
      <w:pPr>
        <w:spacing w:before="20" w:after="20"/>
        <w:outlineLvl w:val="9"/>
        <w:rPr>
          <w:rFonts w:hint="eastAsia" w:eastAsia="黑体"/>
          <w:color w:val="000000" w:themeColor="text1"/>
          <w:highlight w:val="none"/>
          <w:lang w:eastAsia="zh-CN"/>
          <w14:textFill>
            <w14:solidFill>
              <w14:schemeClr w14:val="tx1"/>
            </w14:solidFill>
          </w14:textFill>
        </w:rPr>
      </w:pPr>
      <w:bookmarkStart w:id="72" w:name="_Toc24984"/>
      <w:bookmarkStart w:id="73" w:name="_Toc22004"/>
    </w:p>
    <w:p w14:paraId="6DB28BB1">
      <w:pPr>
        <w:outlineLvl w:val="9"/>
        <w:rPr>
          <w:rFonts w:hint="eastAsia"/>
          <w:lang w:eastAsia="zh-CN"/>
        </w:rPr>
      </w:pPr>
    </w:p>
    <w:p w14:paraId="2133E13E">
      <w:pPr>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p>
    <w:p w14:paraId="246496AB">
      <w:pPr>
        <w:pStyle w:val="5"/>
        <w:spacing w:before="20" w:after="2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附件4               </w:t>
      </w:r>
      <w:bookmarkEnd w:id="72"/>
      <w:bookmarkEnd w:id="73"/>
      <w:r>
        <w:rPr>
          <w:rFonts w:hint="eastAsia"/>
          <w:color w:val="000000" w:themeColor="text1"/>
          <w:highlight w:val="none"/>
          <w14:textFill>
            <w14:solidFill>
              <w14:schemeClr w14:val="tx1"/>
            </w14:solidFill>
          </w14:textFill>
        </w:rPr>
        <w:t>报价明细表</w:t>
      </w:r>
      <w:r>
        <w:rPr>
          <w:rFonts w:hint="eastAsia"/>
          <w:color w:val="auto"/>
          <w:highlight w:val="none"/>
        </w:rPr>
        <w:t>（格式）</w:t>
      </w:r>
    </w:p>
    <w:p w14:paraId="349C7300">
      <w:pPr>
        <w:keepNext w:val="0"/>
        <w:keepLines w:val="0"/>
        <w:pageBreakBefore w:val="0"/>
        <w:widowControl/>
        <w:kinsoku/>
        <w:wordWrap w:val="0"/>
        <w:overflowPunct/>
        <w:topLinePunct w:val="0"/>
        <w:autoSpaceDE/>
        <w:autoSpaceDN/>
        <w:bidi w:val="0"/>
        <w:adjustRightInd/>
        <w:snapToGrid w:val="0"/>
        <w:spacing w:before="50" w:after="50" w:line="400" w:lineRule="exact"/>
        <w:ind w:left="88" w:leftChars="42" w:right="-817" w:rightChars="-389" w:firstLine="4161" w:firstLineChars="1734"/>
        <w:jc w:val="right"/>
        <w:textAlignment w:val="auto"/>
        <w:rPr>
          <w:rFonts w:ascii="宋体" w:hAnsi="宋体" w:cs="宋体"/>
          <w:color w:val="000000" w:themeColor="text1"/>
          <w:kern w:val="0"/>
          <w:sz w:val="24"/>
          <w:highlight w:val="none"/>
          <w14:textFill>
            <w14:solidFill>
              <w14:schemeClr w14:val="tx1"/>
            </w14:solidFill>
          </w14:textFill>
        </w:rPr>
      </w:pPr>
      <w:r>
        <w:rPr>
          <w:rFonts w:hint="eastAsia" w:cs="宋体"/>
          <w:color w:val="000000" w:themeColor="text1"/>
          <w:kern w:val="0"/>
          <w:sz w:val="24"/>
          <w:highlight w:val="non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 xml:space="preserve">                    金额单位：人民币（元）</w:t>
      </w:r>
    </w:p>
    <w:tbl>
      <w:tblPr>
        <w:tblStyle w:val="32"/>
        <w:tblpPr w:leftFromText="180" w:rightFromText="180" w:vertAnchor="text" w:horzAnchor="page" w:tblpX="1095" w:tblpY="449"/>
        <w:tblOverlap w:val="never"/>
        <w:tblW w:w="988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43"/>
        <w:gridCol w:w="2097"/>
        <w:gridCol w:w="1424"/>
        <w:gridCol w:w="1424"/>
        <w:gridCol w:w="1447"/>
        <w:gridCol w:w="822"/>
        <w:gridCol w:w="883"/>
        <w:gridCol w:w="1140"/>
      </w:tblGrid>
      <w:tr w14:paraId="56A727D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trPr>
        <w:tc>
          <w:tcPr>
            <w:tcW w:w="643" w:type="dxa"/>
            <w:tcBorders>
              <w:top w:val="single" w:color="auto" w:sz="4" w:space="0"/>
              <w:left w:val="single" w:color="auto" w:sz="4" w:space="0"/>
              <w:bottom w:val="nil"/>
              <w:right w:val="single" w:color="auto" w:sz="4" w:space="0"/>
            </w:tcBorders>
            <w:vAlign w:val="center"/>
          </w:tcPr>
          <w:p w14:paraId="53118CBA">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序号</w:t>
            </w:r>
          </w:p>
        </w:tc>
        <w:tc>
          <w:tcPr>
            <w:tcW w:w="2097" w:type="dxa"/>
            <w:tcBorders>
              <w:top w:val="single" w:color="auto" w:sz="4" w:space="0"/>
              <w:left w:val="single" w:color="auto" w:sz="4" w:space="0"/>
              <w:bottom w:val="nil"/>
              <w:right w:val="single" w:color="auto" w:sz="4" w:space="0"/>
            </w:tcBorders>
            <w:vAlign w:val="center"/>
          </w:tcPr>
          <w:p w14:paraId="27D2B4E6">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spacing w:val="20"/>
                <w:kern w:val="0"/>
                <w:sz w:val="24"/>
                <w:szCs w:val="24"/>
                <w:highlight w:val="none"/>
                <w:lang w:val="en-US" w:eastAsia="zh-CN" w:bidi="ar-SA"/>
                <w14:textFill>
                  <w14:solidFill>
                    <w14:schemeClr w14:val="tx1"/>
                  </w14:solidFill>
                </w14:textFill>
              </w:rPr>
              <w:t>货物</w:t>
            </w:r>
            <w:r>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t>名称</w:t>
            </w:r>
          </w:p>
        </w:tc>
        <w:tc>
          <w:tcPr>
            <w:tcW w:w="1424" w:type="dxa"/>
            <w:tcBorders>
              <w:top w:val="single" w:color="auto" w:sz="4" w:space="0"/>
              <w:left w:val="single" w:color="auto" w:sz="4" w:space="0"/>
              <w:bottom w:val="nil"/>
              <w:right w:val="single" w:color="auto" w:sz="4" w:space="0"/>
            </w:tcBorders>
            <w:vAlign w:val="center"/>
          </w:tcPr>
          <w:p w14:paraId="45D85FCE">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spacing w:val="20"/>
                <w:kern w:val="0"/>
                <w:sz w:val="24"/>
                <w:szCs w:val="24"/>
                <w:highlight w:val="none"/>
                <w:lang w:val="en-US" w:eastAsia="zh-CN" w:bidi="ar-SA"/>
                <w14:textFill>
                  <w14:solidFill>
                    <w14:schemeClr w14:val="tx1"/>
                  </w14:solidFill>
                </w14:textFill>
              </w:rPr>
              <w:t>品牌</w:t>
            </w:r>
          </w:p>
        </w:tc>
        <w:tc>
          <w:tcPr>
            <w:tcW w:w="1424" w:type="dxa"/>
            <w:tcBorders>
              <w:top w:val="single" w:color="auto" w:sz="4" w:space="0"/>
              <w:left w:val="single" w:color="auto" w:sz="4" w:space="0"/>
              <w:bottom w:val="nil"/>
              <w:right w:val="single" w:color="auto" w:sz="4" w:space="0"/>
            </w:tcBorders>
            <w:vAlign w:val="center"/>
          </w:tcPr>
          <w:p w14:paraId="7075DA95">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spacing w:val="20"/>
                <w:kern w:val="0"/>
                <w:sz w:val="24"/>
                <w:szCs w:val="24"/>
                <w:highlight w:val="none"/>
                <w:lang w:val="en-US" w:eastAsia="zh-CN" w:bidi="ar-SA"/>
                <w14:textFill>
                  <w14:solidFill>
                    <w14:schemeClr w14:val="tx1"/>
                  </w14:solidFill>
                </w14:textFill>
              </w:rPr>
              <w:t>规格型号</w:t>
            </w:r>
          </w:p>
        </w:tc>
        <w:tc>
          <w:tcPr>
            <w:tcW w:w="1447" w:type="dxa"/>
            <w:tcBorders>
              <w:top w:val="single" w:color="auto" w:sz="4" w:space="0"/>
              <w:left w:val="single" w:color="auto" w:sz="4" w:space="0"/>
              <w:bottom w:val="nil"/>
              <w:right w:val="single" w:color="auto" w:sz="4" w:space="0"/>
            </w:tcBorders>
            <w:vAlign w:val="center"/>
          </w:tcPr>
          <w:p w14:paraId="5BFE7677">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kern w:val="0"/>
                <w:sz w:val="24"/>
                <w:highlight w:val="none"/>
                <w:lang w:val="en-US" w:eastAsia="zh-CN"/>
                <w14:textFill>
                  <w14:solidFill>
                    <w14:schemeClr w14:val="tx1"/>
                  </w14:solidFill>
                </w14:textFill>
              </w:rPr>
            </w:pPr>
            <w:r>
              <w:rPr>
                <w:rFonts w:hint="eastAsia" w:ascii="宋体" w:hAnsi="宋体" w:cs="宋体"/>
                <w:color w:val="000000" w:themeColor="text1"/>
                <w:kern w:val="0"/>
                <w:sz w:val="24"/>
                <w:highlight w:val="none"/>
                <w:lang w:val="en-US" w:eastAsia="zh-CN"/>
                <w14:textFill>
                  <w14:solidFill>
                    <w14:schemeClr w14:val="tx1"/>
                  </w14:solidFill>
                </w14:textFill>
              </w:rPr>
              <w:t>产地</w:t>
            </w:r>
          </w:p>
        </w:tc>
        <w:tc>
          <w:tcPr>
            <w:tcW w:w="822" w:type="dxa"/>
            <w:tcBorders>
              <w:top w:val="single" w:color="auto" w:sz="4" w:space="0"/>
              <w:left w:val="single" w:color="auto" w:sz="4" w:space="0"/>
              <w:bottom w:val="nil"/>
              <w:right w:val="single" w:color="auto" w:sz="4" w:space="0"/>
            </w:tcBorders>
            <w:vAlign w:val="center"/>
          </w:tcPr>
          <w:p w14:paraId="1DDC9F8F">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数量</w:t>
            </w:r>
          </w:p>
        </w:tc>
        <w:tc>
          <w:tcPr>
            <w:tcW w:w="883" w:type="dxa"/>
            <w:tcBorders>
              <w:top w:val="single" w:color="auto" w:sz="4" w:space="0"/>
              <w:left w:val="single" w:color="auto" w:sz="4" w:space="0"/>
              <w:bottom w:val="nil"/>
              <w:right w:val="single" w:color="auto" w:sz="4" w:space="0"/>
            </w:tcBorders>
            <w:vAlign w:val="center"/>
          </w:tcPr>
          <w:p w14:paraId="17C7BAE7">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单价</w:t>
            </w:r>
          </w:p>
        </w:tc>
        <w:tc>
          <w:tcPr>
            <w:tcW w:w="1140" w:type="dxa"/>
            <w:tcBorders>
              <w:top w:val="single" w:color="auto" w:sz="4" w:space="0"/>
              <w:left w:val="single" w:color="auto" w:sz="4" w:space="0"/>
              <w:bottom w:val="nil"/>
              <w:right w:val="single" w:color="auto" w:sz="4" w:space="0"/>
            </w:tcBorders>
            <w:vAlign w:val="center"/>
          </w:tcPr>
          <w:p w14:paraId="2E6301BF">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总价</w:t>
            </w:r>
          </w:p>
        </w:tc>
      </w:tr>
      <w:tr w14:paraId="47E662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43" w:type="dxa"/>
            <w:tcBorders>
              <w:top w:val="single" w:color="auto" w:sz="4" w:space="0"/>
              <w:left w:val="single" w:color="auto" w:sz="4" w:space="0"/>
              <w:bottom w:val="single" w:color="auto" w:sz="4" w:space="0"/>
              <w:right w:val="single" w:color="auto" w:sz="4" w:space="0"/>
            </w:tcBorders>
          </w:tcPr>
          <w:p w14:paraId="4C7F017D">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1</w:t>
            </w:r>
          </w:p>
        </w:tc>
        <w:tc>
          <w:tcPr>
            <w:tcW w:w="2097" w:type="dxa"/>
            <w:tcBorders>
              <w:top w:val="single" w:color="auto" w:sz="4" w:space="0"/>
              <w:left w:val="single" w:color="auto" w:sz="4" w:space="0"/>
              <w:bottom w:val="single" w:color="auto" w:sz="4" w:space="0"/>
              <w:right w:val="single" w:color="auto" w:sz="4" w:space="0"/>
            </w:tcBorders>
          </w:tcPr>
          <w:p w14:paraId="7F32EFA2">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24" w:type="dxa"/>
            <w:tcBorders>
              <w:top w:val="single" w:color="auto" w:sz="4" w:space="0"/>
              <w:left w:val="single" w:color="auto" w:sz="4" w:space="0"/>
              <w:bottom w:val="single" w:color="auto" w:sz="4" w:space="0"/>
              <w:right w:val="single" w:color="auto" w:sz="4" w:space="0"/>
            </w:tcBorders>
          </w:tcPr>
          <w:p w14:paraId="00F9FA66">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24" w:type="dxa"/>
            <w:tcBorders>
              <w:top w:val="single" w:color="auto" w:sz="4" w:space="0"/>
              <w:left w:val="single" w:color="auto" w:sz="4" w:space="0"/>
              <w:bottom w:val="single" w:color="auto" w:sz="4" w:space="0"/>
              <w:right w:val="single" w:color="auto" w:sz="4" w:space="0"/>
            </w:tcBorders>
          </w:tcPr>
          <w:p w14:paraId="36C311D8">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47" w:type="dxa"/>
            <w:tcBorders>
              <w:top w:val="single" w:color="auto" w:sz="4" w:space="0"/>
              <w:left w:val="single" w:color="auto" w:sz="4" w:space="0"/>
              <w:bottom w:val="single" w:color="auto" w:sz="4" w:space="0"/>
              <w:right w:val="single" w:color="auto" w:sz="4" w:space="0"/>
            </w:tcBorders>
          </w:tcPr>
          <w:p w14:paraId="240A7BC2">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822" w:type="dxa"/>
            <w:tcBorders>
              <w:top w:val="single" w:color="auto" w:sz="4" w:space="0"/>
              <w:left w:val="single" w:color="auto" w:sz="4" w:space="0"/>
              <w:bottom w:val="single" w:color="auto" w:sz="4" w:space="0"/>
              <w:right w:val="single" w:color="auto" w:sz="4" w:space="0"/>
            </w:tcBorders>
          </w:tcPr>
          <w:p w14:paraId="7F69C7D1">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spacing w:val="20"/>
                <w:kern w:val="0"/>
                <w:sz w:val="24"/>
                <w:highlight w:val="none"/>
                <w:lang w:val="en-US" w:eastAsia="zh-CN"/>
                <w14:textFill>
                  <w14:solidFill>
                    <w14:schemeClr w14:val="tx1"/>
                  </w14:solidFill>
                </w14:textFill>
              </w:rPr>
            </w:pPr>
          </w:p>
        </w:tc>
        <w:tc>
          <w:tcPr>
            <w:tcW w:w="883" w:type="dxa"/>
            <w:tcBorders>
              <w:top w:val="single" w:color="auto" w:sz="4" w:space="0"/>
              <w:left w:val="single" w:color="auto" w:sz="4" w:space="0"/>
              <w:bottom w:val="single" w:color="auto" w:sz="4" w:space="0"/>
              <w:right w:val="single" w:color="auto" w:sz="4" w:space="0"/>
            </w:tcBorders>
          </w:tcPr>
          <w:p w14:paraId="0B26A59B">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140" w:type="dxa"/>
            <w:tcBorders>
              <w:top w:val="single" w:color="auto" w:sz="4" w:space="0"/>
              <w:left w:val="single" w:color="auto" w:sz="4" w:space="0"/>
              <w:bottom w:val="single" w:color="auto" w:sz="4" w:space="0"/>
              <w:right w:val="single" w:color="auto" w:sz="4" w:space="0"/>
            </w:tcBorders>
          </w:tcPr>
          <w:p w14:paraId="1B5C41F1">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r>
      <w:tr w14:paraId="6210FA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43" w:type="dxa"/>
            <w:tcBorders>
              <w:top w:val="single" w:color="auto" w:sz="4" w:space="0"/>
              <w:left w:val="single" w:color="auto" w:sz="4" w:space="0"/>
              <w:bottom w:val="single" w:color="auto" w:sz="4" w:space="0"/>
              <w:right w:val="single" w:color="auto" w:sz="4" w:space="0"/>
            </w:tcBorders>
          </w:tcPr>
          <w:p w14:paraId="73559B0F">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2</w:t>
            </w:r>
          </w:p>
        </w:tc>
        <w:tc>
          <w:tcPr>
            <w:tcW w:w="2097" w:type="dxa"/>
            <w:tcBorders>
              <w:top w:val="single" w:color="auto" w:sz="4" w:space="0"/>
              <w:left w:val="single" w:color="auto" w:sz="4" w:space="0"/>
              <w:bottom w:val="single" w:color="auto" w:sz="4" w:space="0"/>
              <w:right w:val="single" w:color="auto" w:sz="4" w:space="0"/>
            </w:tcBorders>
          </w:tcPr>
          <w:p w14:paraId="676803A4">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24" w:type="dxa"/>
            <w:tcBorders>
              <w:top w:val="single" w:color="auto" w:sz="4" w:space="0"/>
              <w:left w:val="single" w:color="auto" w:sz="4" w:space="0"/>
              <w:bottom w:val="single" w:color="auto" w:sz="4" w:space="0"/>
              <w:right w:val="single" w:color="auto" w:sz="4" w:space="0"/>
            </w:tcBorders>
          </w:tcPr>
          <w:p w14:paraId="56C16440">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24" w:type="dxa"/>
            <w:tcBorders>
              <w:top w:val="single" w:color="auto" w:sz="4" w:space="0"/>
              <w:left w:val="single" w:color="auto" w:sz="4" w:space="0"/>
              <w:bottom w:val="single" w:color="auto" w:sz="4" w:space="0"/>
              <w:right w:val="single" w:color="auto" w:sz="4" w:space="0"/>
            </w:tcBorders>
          </w:tcPr>
          <w:p w14:paraId="243F27D4">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47" w:type="dxa"/>
            <w:tcBorders>
              <w:top w:val="single" w:color="auto" w:sz="4" w:space="0"/>
              <w:left w:val="single" w:color="auto" w:sz="4" w:space="0"/>
              <w:bottom w:val="single" w:color="auto" w:sz="4" w:space="0"/>
              <w:right w:val="single" w:color="auto" w:sz="4" w:space="0"/>
            </w:tcBorders>
          </w:tcPr>
          <w:p w14:paraId="515AD6E3">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822" w:type="dxa"/>
            <w:tcBorders>
              <w:top w:val="single" w:color="auto" w:sz="4" w:space="0"/>
              <w:left w:val="single" w:color="auto" w:sz="4" w:space="0"/>
              <w:bottom w:val="single" w:color="auto" w:sz="4" w:space="0"/>
              <w:right w:val="single" w:color="auto" w:sz="4" w:space="0"/>
            </w:tcBorders>
          </w:tcPr>
          <w:p w14:paraId="27B2DE22">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spacing w:val="20"/>
                <w:kern w:val="0"/>
                <w:sz w:val="24"/>
                <w:highlight w:val="none"/>
                <w:lang w:val="en-US" w:eastAsia="zh-CN"/>
                <w14:textFill>
                  <w14:solidFill>
                    <w14:schemeClr w14:val="tx1"/>
                  </w14:solidFill>
                </w14:textFill>
              </w:rPr>
            </w:pPr>
          </w:p>
        </w:tc>
        <w:tc>
          <w:tcPr>
            <w:tcW w:w="883" w:type="dxa"/>
            <w:tcBorders>
              <w:top w:val="single" w:color="auto" w:sz="4" w:space="0"/>
              <w:left w:val="single" w:color="auto" w:sz="4" w:space="0"/>
              <w:bottom w:val="single" w:color="auto" w:sz="4" w:space="0"/>
              <w:right w:val="single" w:color="auto" w:sz="4" w:space="0"/>
            </w:tcBorders>
          </w:tcPr>
          <w:p w14:paraId="419A0A48">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140" w:type="dxa"/>
            <w:tcBorders>
              <w:top w:val="single" w:color="auto" w:sz="4" w:space="0"/>
              <w:left w:val="single" w:color="auto" w:sz="4" w:space="0"/>
              <w:bottom w:val="single" w:color="auto" w:sz="4" w:space="0"/>
              <w:right w:val="single" w:color="auto" w:sz="4" w:space="0"/>
            </w:tcBorders>
          </w:tcPr>
          <w:p w14:paraId="4C085B6C">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r>
      <w:tr w14:paraId="0D0085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43" w:type="dxa"/>
            <w:tcBorders>
              <w:top w:val="single" w:color="auto" w:sz="4" w:space="0"/>
              <w:left w:val="single" w:color="auto" w:sz="4" w:space="0"/>
              <w:bottom w:val="single" w:color="auto" w:sz="4" w:space="0"/>
              <w:right w:val="single" w:color="auto" w:sz="4" w:space="0"/>
            </w:tcBorders>
          </w:tcPr>
          <w:p w14:paraId="3651AA94">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spacing w:val="20"/>
                <w:kern w:val="0"/>
                <w:sz w:val="24"/>
                <w:highlight w:val="none"/>
                <w:lang w:val="en-US" w:eastAsia="zh-CN"/>
                <w14:textFill>
                  <w14:solidFill>
                    <w14:schemeClr w14:val="tx1"/>
                  </w14:solidFill>
                </w14:textFill>
              </w:rPr>
            </w:pPr>
            <w:r>
              <w:rPr>
                <w:rFonts w:hint="eastAsia"/>
                <w:color w:val="auto"/>
                <w:sz w:val="24"/>
                <w:highlight w:val="none"/>
                <w:lang w:val="en-US" w:eastAsia="zh-CN"/>
              </w:rPr>
              <w:t>3</w:t>
            </w:r>
          </w:p>
        </w:tc>
        <w:tc>
          <w:tcPr>
            <w:tcW w:w="2097" w:type="dxa"/>
            <w:tcBorders>
              <w:top w:val="single" w:color="auto" w:sz="4" w:space="0"/>
              <w:left w:val="single" w:color="auto" w:sz="4" w:space="0"/>
              <w:bottom w:val="single" w:color="auto" w:sz="4" w:space="0"/>
              <w:right w:val="single" w:color="auto" w:sz="4" w:space="0"/>
            </w:tcBorders>
          </w:tcPr>
          <w:p w14:paraId="1F388628">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24" w:type="dxa"/>
            <w:tcBorders>
              <w:top w:val="single" w:color="auto" w:sz="4" w:space="0"/>
              <w:left w:val="single" w:color="auto" w:sz="4" w:space="0"/>
              <w:bottom w:val="single" w:color="auto" w:sz="4" w:space="0"/>
              <w:right w:val="single" w:color="auto" w:sz="4" w:space="0"/>
            </w:tcBorders>
          </w:tcPr>
          <w:p w14:paraId="0914BD3E">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24" w:type="dxa"/>
            <w:tcBorders>
              <w:top w:val="single" w:color="auto" w:sz="4" w:space="0"/>
              <w:left w:val="single" w:color="auto" w:sz="4" w:space="0"/>
              <w:bottom w:val="single" w:color="auto" w:sz="4" w:space="0"/>
              <w:right w:val="single" w:color="auto" w:sz="4" w:space="0"/>
            </w:tcBorders>
          </w:tcPr>
          <w:p w14:paraId="6E681BD9">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47" w:type="dxa"/>
            <w:tcBorders>
              <w:top w:val="single" w:color="auto" w:sz="4" w:space="0"/>
              <w:left w:val="single" w:color="auto" w:sz="4" w:space="0"/>
              <w:bottom w:val="single" w:color="auto" w:sz="4" w:space="0"/>
              <w:right w:val="single" w:color="auto" w:sz="4" w:space="0"/>
            </w:tcBorders>
          </w:tcPr>
          <w:p w14:paraId="4AB760A9">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822" w:type="dxa"/>
            <w:tcBorders>
              <w:top w:val="single" w:color="auto" w:sz="4" w:space="0"/>
              <w:left w:val="single" w:color="auto" w:sz="4" w:space="0"/>
              <w:bottom w:val="single" w:color="auto" w:sz="4" w:space="0"/>
              <w:right w:val="single" w:color="auto" w:sz="4" w:space="0"/>
            </w:tcBorders>
          </w:tcPr>
          <w:p w14:paraId="69BBEDE6">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spacing w:val="20"/>
                <w:kern w:val="0"/>
                <w:sz w:val="24"/>
                <w:highlight w:val="none"/>
                <w:lang w:val="en-US" w:eastAsia="zh-CN"/>
                <w14:textFill>
                  <w14:solidFill>
                    <w14:schemeClr w14:val="tx1"/>
                  </w14:solidFill>
                </w14:textFill>
              </w:rPr>
            </w:pPr>
          </w:p>
        </w:tc>
        <w:tc>
          <w:tcPr>
            <w:tcW w:w="883" w:type="dxa"/>
            <w:tcBorders>
              <w:top w:val="single" w:color="auto" w:sz="4" w:space="0"/>
              <w:left w:val="single" w:color="auto" w:sz="4" w:space="0"/>
              <w:bottom w:val="single" w:color="auto" w:sz="4" w:space="0"/>
              <w:right w:val="single" w:color="auto" w:sz="4" w:space="0"/>
            </w:tcBorders>
          </w:tcPr>
          <w:p w14:paraId="237FA018">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140" w:type="dxa"/>
            <w:tcBorders>
              <w:top w:val="single" w:color="auto" w:sz="4" w:space="0"/>
              <w:left w:val="single" w:color="auto" w:sz="4" w:space="0"/>
              <w:bottom w:val="single" w:color="auto" w:sz="4" w:space="0"/>
              <w:right w:val="single" w:color="auto" w:sz="4" w:space="0"/>
            </w:tcBorders>
          </w:tcPr>
          <w:p w14:paraId="74004590">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r>
      <w:tr w14:paraId="54A2E6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43" w:type="dxa"/>
            <w:tcBorders>
              <w:top w:val="single" w:color="auto" w:sz="4" w:space="0"/>
              <w:left w:val="single" w:color="auto" w:sz="4" w:space="0"/>
              <w:bottom w:val="single" w:color="auto" w:sz="4" w:space="0"/>
              <w:right w:val="single" w:color="auto" w:sz="4" w:space="0"/>
            </w:tcBorders>
          </w:tcPr>
          <w:p w14:paraId="58E69608">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color w:val="auto"/>
                <w:sz w:val="24"/>
                <w:highlight w:val="none"/>
              </w:rPr>
            </w:pPr>
            <w:r>
              <w:rPr>
                <w:rFonts w:hint="eastAsia"/>
                <w:color w:val="auto"/>
                <w:sz w:val="24"/>
                <w:highlight w:val="none"/>
              </w:rPr>
              <w:t>...</w:t>
            </w:r>
          </w:p>
        </w:tc>
        <w:tc>
          <w:tcPr>
            <w:tcW w:w="2097" w:type="dxa"/>
            <w:tcBorders>
              <w:top w:val="single" w:color="auto" w:sz="4" w:space="0"/>
              <w:left w:val="single" w:color="auto" w:sz="4" w:space="0"/>
              <w:bottom w:val="single" w:color="auto" w:sz="4" w:space="0"/>
              <w:right w:val="single" w:color="auto" w:sz="4" w:space="0"/>
            </w:tcBorders>
          </w:tcPr>
          <w:p w14:paraId="45437107">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24" w:type="dxa"/>
            <w:tcBorders>
              <w:top w:val="single" w:color="auto" w:sz="4" w:space="0"/>
              <w:left w:val="single" w:color="auto" w:sz="4" w:space="0"/>
              <w:bottom w:val="single" w:color="auto" w:sz="4" w:space="0"/>
              <w:right w:val="single" w:color="auto" w:sz="4" w:space="0"/>
            </w:tcBorders>
          </w:tcPr>
          <w:p w14:paraId="125F5381">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24" w:type="dxa"/>
            <w:tcBorders>
              <w:top w:val="single" w:color="auto" w:sz="4" w:space="0"/>
              <w:left w:val="single" w:color="auto" w:sz="4" w:space="0"/>
              <w:bottom w:val="single" w:color="auto" w:sz="4" w:space="0"/>
              <w:right w:val="single" w:color="auto" w:sz="4" w:space="0"/>
            </w:tcBorders>
          </w:tcPr>
          <w:p w14:paraId="6A0667C9">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47" w:type="dxa"/>
            <w:tcBorders>
              <w:top w:val="single" w:color="auto" w:sz="4" w:space="0"/>
              <w:left w:val="single" w:color="auto" w:sz="4" w:space="0"/>
              <w:bottom w:val="single" w:color="auto" w:sz="4" w:space="0"/>
              <w:right w:val="single" w:color="auto" w:sz="4" w:space="0"/>
            </w:tcBorders>
          </w:tcPr>
          <w:p w14:paraId="3A6F4571">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822" w:type="dxa"/>
            <w:tcBorders>
              <w:top w:val="single" w:color="auto" w:sz="4" w:space="0"/>
              <w:left w:val="single" w:color="auto" w:sz="4" w:space="0"/>
              <w:bottom w:val="single" w:color="auto" w:sz="4" w:space="0"/>
              <w:right w:val="single" w:color="auto" w:sz="4" w:space="0"/>
            </w:tcBorders>
          </w:tcPr>
          <w:p w14:paraId="6A6BFEA3">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spacing w:val="20"/>
                <w:kern w:val="0"/>
                <w:sz w:val="24"/>
                <w:highlight w:val="none"/>
                <w:lang w:val="en-US" w:eastAsia="zh-CN"/>
                <w14:textFill>
                  <w14:solidFill>
                    <w14:schemeClr w14:val="tx1"/>
                  </w14:solidFill>
                </w14:textFill>
              </w:rPr>
            </w:pPr>
          </w:p>
        </w:tc>
        <w:tc>
          <w:tcPr>
            <w:tcW w:w="883" w:type="dxa"/>
            <w:tcBorders>
              <w:top w:val="single" w:color="auto" w:sz="4" w:space="0"/>
              <w:left w:val="single" w:color="auto" w:sz="4" w:space="0"/>
              <w:bottom w:val="single" w:color="auto" w:sz="4" w:space="0"/>
              <w:right w:val="single" w:color="auto" w:sz="4" w:space="0"/>
            </w:tcBorders>
          </w:tcPr>
          <w:p w14:paraId="1C99B521">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140" w:type="dxa"/>
            <w:tcBorders>
              <w:top w:val="single" w:color="auto" w:sz="4" w:space="0"/>
              <w:left w:val="single" w:color="auto" w:sz="4" w:space="0"/>
              <w:bottom w:val="single" w:color="auto" w:sz="4" w:space="0"/>
              <w:right w:val="single" w:color="auto" w:sz="4" w:space="0"/>
            </w:tcBorders>
          </w:tcPr>
          <w:p w14:paraId="0BDDBDC1">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r>
      <w:tr w14:paraId="3886664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43" w:type="dxa"/>
            <w:tcBorders>
              <w:top w:val="single" w:color="auto" w:sz="4" w:space="0"/>
              <w:left w:val="single" w:color="auto" w:sz="4" w:space="0"/>
              <w:bottom w:val="single" w:color="auto" w:sz="4" w:space="0"/>
              <w:right w:val="single" w:color="auto" w:sz="4" w:space="0"/>
            </w:tcBorders>
          </w:tcPr>
          <w:p w14:paraId="195313C6">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color w:val="auto"/>
                <w:sz w:val="24"/>
                <w:highlight w:val="none"/>
              </w:rPr>
            </w:pPr>
          </w:p>
        </w:tc>
        <w:tc>
          <w:tcPr>
            <w:tcW w:w="9237" w:type="dxa"/>
            <w:gridSpan w:val="7"/>
            <w:tcBorders>
              <w:top w:val="single" w:color="auto" w:sz="4" w:space="0"/>
              <w:left w:val="single" w:color="auto" w:sz="4" w:space="0"/>
              <w:bottom w:val="single" w:color="auto" w:sz="4" w:space="0"/>
              <w:right w:val="single" w:color="auto" w:sz="4" w:space="0"/>
            </w:tcBorders>
          </w:tcPr>
          <w:p w14:paraId="03C3041D">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left"/>
              <w:textAlignment w:val="auto"/>
              <w:rPr>
                <w:rFonts w:ascii="宋体" w:hAnsi="宋体" w:cs="宋体"/>
                <w:color w:val="000000" w:themeColor="text1"/>
                <w:spacing w:val="20"/>
                <w:kern w:val="0"/>
                <w:sz w:val="24"/>
                <w:highlight w:val="none"/>
                <w14:textFill>
                  <w14:solidFill>
                    <w14:schemeClr w14:val="tx1"/>
                  </w14:solidFill>
                </w14:textFill>
              </w:rPr>
            </w:pPr>
            <w:r>
              <w:rPr>
                <w:rFonts w:hint="eastAsia" w:ascii="宋体" w:hAnsi="宋体" w:cs="宋体"/>
                <w:color w:val="000000" w:themeColor="text1"/>
                <w:spacing w:val="20"/>
                <w:kern w:val="0"/>
                <w:sz w:val="24"/>
                <w:highlight w:val="none"/>
                <w14:textFill>
                  <w14:solidFill>
                    <w14:schemeClr w14:val="tx1"/>
                  </w14:solidFill>
                </w14:textFill>
              </w:rPr>
              <w:t>投标</w:t>
            </w:r>
            <w:r>
              <w:rPr>
                <w:rFonts w:hint="eastAsia" w:ascii="宋体" w:hAnsi="宋体" w:cs="宋体"/>
                <w:color w:val="000000" w:themeColor="text1"/>
                <w:spacing w:val="20"/>
                <w:kern w:val="0"/>
                <w:sz w:val="24"/>
                <w:highlight w:val="none"/>
                <w:lang w:val="en-US" w:eastAsia="zh-CN"/>
                <w14:textFill>
                  <w14:solidFill>
                    <w14:schemeClr w14:val="tx1"/>
                  </w14:solidFill>
                </w14:textFill>
              </w:rPr>
              <w:t>总</w:t>
            </w:r>
            <w:r>
              <w:rPr>
                <w:rFonts w:hint="eastAsia" w:ascii="宋体" w:hAnsi="宋体" w:cs="宋体"/>
                <w:color w:val="000000" w:themeColor="text1"/>
                <w:spacing w:val="20"/>
                <w:kern w:val="0"/>
                <w:sz w:val="24"/>
                <w:highlight w:val="none"/>
                <w14:textFill>
                  <w14:solidFill>
                    <w14:schemeClr w14:val="tx1"/>
                  </w14:solidFill>
                </w14:textFill>
              </w:rPr>
              <w:t>价(</w:t>
            </w:r>
            <w:r>
              <w:rPr>
                <w:rFonts w:hint="eastAsia" w:ascii="宋体" w:hAnsi="宋体" w:cs="宋体"/>
                <w:color w:val="000000" w:themeColor="text1"/>
                <w:kern w:val="0"/>
                <w:sz w:val="24"/>
                <w:szCs w:val="21"/>
                <w:highlight w:val="none"/>
                <w14:textFill>
                  <w14:solidFill>
                    <w14:schemeClr w14:val="tx1"/>
                  </w14:solidFill>
                </w14:textFill>
              </w:rPr>
              <w:t>大写)：</w:t>
            </w:r>
          </w:p>
        </w:tc>
      </w:tr>
    </w:tbl>
    <w:p w14:paraId="1B4F6563">
      <w:pPr>
        <w:keepNext w:val="0"/>
        <w:keepLines w:val="0"/>
        <w:pageBreakBefore w:val="0"/>
        <w:widowControl/>
        <w:kinsoku/>
        <w:wordWrap w:val="0"/>
        <w:overflowPunct/>
        <w:topLinePunct w:val="0"/>
        <w:autoSpaceDE/>
        <w:autoSpaceDN/>
        <w:bidi w:val="0"/>
        <w:adjustRightInd/>
        <w:spacing w:line="400" w:lineRule="exact"/>
        <w:jc w:val="left"/>
        <w:textAlignment w:val="auto"/>
        <w:rPr>
          <w:rFonts w:ascii="宋体" w:hAnsi="宋体" w:cs="宋体"/>
          <w:color w:val="auto"/>
          <w:kern w:val="0"/>
          <w:sz w:val="24"/>
          <w:highlight w:val="none"/>
        </w:rPr>
      </w:pPr>
    </w:p>
    <w:p w14:paraId="28151E6A">
      <w:pPr>
        <w:widowControl/>
        <w:shd w:val="clear" w:color="auto" w:fill="FFFFFF"/>
        <w:spacing w:line="360" w:lineRule="auto"/>
        <w:ind w:left="1418" w:hanging="567"/>
        <w:jc w:val="both"/>
        <w:rPr>
          <w:rFonts w:hint="eastAsia" w:ascii="宋体" w:hAnsi="宋体" w:cs="宋体"/>
          <w:color w:val="auto"/>
          <w:kern w:val="0"/>
          <w:sz w:val="24"/>
        </w:rPr>
      </w:pPr>
    </w:p>
    <w:p w14:paraId="58EBF0DC">
      <w:pPr>
        <w:widowControl/>
        <w:shd w:val="clear" w:color="auto" w:fill="FFFFFF"/>
        <w:spacing w:line="360" w:lineRule="auto"/>
        <w:ind w:left="1418" w:hanging="567"/>
        <w:jc w:val="both"/>
        <w:rPr>
          <w:rFonts w:hint="eastAsia" w:ascii="宋体" w:hAnsi="宋体" w:cs="宋体"/>
          <w:color w:val="auto"/>
          <w:kern w:val="0"/>
          <w:sz w:val="24"/>
        </w:rPr>
      </w:pPr>
    </w:p>
    <w:p w14:paraId="1CDC419A">
      <w:pPr>
        <w:pStyle w:val="30"/>
        <w:rPr>
          <w:rFonts w:hint="eastAsia"/>
        </w:rPr>
      </w:pPr>
    </w:p>
    <w:p w14:paraId="4710B164">
      <w:pPr>
        <w:widowControl/>
        <w:shd w:val="clear" w:color="auto" w:fill="FFFFFF"/>
        <w:spacing w:line="360" w:lineRule="auto"/>
        <w:ind w:left="1418" w:hanging="567"/>
        <w:jc w:val="both"/>
        <w:rPr>
          <w:rFonts w:hint="eastAsia" w:ascii="宋体" w:hAnsi="宋体" w:cs="宋体"/>
          <w:color w:val="auto"/>
          <w:kern w:val="0"/>
          <w:sz w:val="24"/>
        </w:rPr>
      </w:pPr>
      <w:r>
        <w:rPr>
          <w:rFonts w:hint="eastAsia" w:ascii="宋体" w:hAnsi="宋体" w:cs="宋体"/>
          <w:color w:val="auto"/>
          <w:kern w:val="0"/>
          <w:sz w:val="24"/>
        </w:rPr>
        <w:t>供应商法定代表人</w:t>
      </w:r>
      <w:r>
        <w:rPr>
          <w:rFonts w:hint="eastAsia" w:ascii="宋体" w:hAnsi="宋体" w:cs="宋体"/>
          <w:color w:val="auto"/>
          <w:kern w:val="0"/>
          <w:sz w:val="24"/>
          <w:lang w:eastAsia="zh-CN"/>
        </w:rPr>
        <w:t>或</w:t>
      </w:r>
      <w:r>
        <w:rPr>
          <w:rFonts w:hint="eastAsia" w:ascii="宋体" w:hAnsi="宋体" w:cs="宋体"/>
          <w:color w:val="auto"/>
          <w:kern w:val="0"/>
          <w:sz w:val="24"/>
        </w:rPr>
        <w:t>其授权代表签字：</w:t>
      </w:r>
      <w:r>
        <w:rPr>
          <w:rFonts w:hint="eastAsia" w:ascii="宋体" w:hAnsi="宋体" w:cs="宋体"/>
          <w:color w:val="auto"/>
          <w:kern w:val="0"/>
          <w:sz w:val="24"/>
          <w:u w:val="single"/>
        </w:rPr>
        <w:t xml:space="preserve">              </w:t>
      </w:r>
    </w:p>
    <w:p w14:paraId="08CFFAB8">
      <w:pPr>
        <w:widowControl/>
        <w:shd w:val="clear" w:color="auto" w:fill="FFFFFF"/>
        <w:spacing w:line="360" w:lineRule="auto"/>
        <w:jc w:val="left"/>
        <w:rPr>
          <w:rFonts w:ascii="宋体" w:hAnsi="宋体" w:cs="宋体"/>
          <w:color w:val="auto"/>
          <w:kern w:val="0"/>
          <w:sz w:val="24"/>
          <w:highlight w:val="none"/>
        </w:rPr>
      </w:pPr>
      <w:r>
        <w:rPr>
          <w:rFonts w:hint="eastAsia" w:ascii="宋体" w:hAnsi="宋体" w:cs="宋体"/>
          <w:color w:val="auto"/>
          <w:kern w:val="0"/>
          <w:sz w:val="24"/>
        </w:rPr>
        <w:t xml:space="preserve">              供应商名称： </w:t>
      </w:r>
      <w:r>
        <w:rPr>
          <w:rFonts w:hint="eastAsia" w:ascii="宋体" w:hAnsi="宋体" w:cs="宋体"/>
          <w:color w:val="auto"/>
          <w:kern w:val="0"/>
          <w:sz w:val="24"/>
          <w:u w:val="single"/>
        </w:rPr>
        <w:t xml:space="preserve">               </w:t>
      </w:r>
      <w:r>
        <w:rPr>
          <w:rFonts w:hint="eastAsia" w:ascii="宋体" w:hAnsi="宋体" w:cs="宋体"/>
          <w:color w:val="auto"/>
          <w:kern w:val="0"/>
          <w:sz w:val="24"/>
        </w:rPr>
        <w:t>（全称并加盖公章）</w:t>
      </w:r>
    </w:p>
    <w:p w14:paraId="4CC71043">
      <w:pPr>
        <w:widowControl/>
        <w:wordWrap w:val="0"/>
        <w:spacing w:line="460" w:lineRule="exact"/>
        <w:jc w:val="left"/>
        <w:rPr>
          <w:rFonts w:ascii="宋体" w:hAnsi="宋体" w:cs="宋体"/>
          <w:color w:val="auto"/>
          <w:kern w:val="0"/>
          <w:sz w:val="24"/>
          <w:highlight w:val="none"/>
        </w:rPr>
      </w:pPr>
    </w:p>
    <w:p w14:paraId="473377C5">
      <w:pPr>
        <w:widowControl/>
        <w:wordWrap w:val="0"/>
        <w:spacing w:line="460" w:lineRule="exact"/>
        <w:ind w:firstLine="2880" w:firstLineChars="1200"/>
        <w:jc w:val="left"/>
        <w:rPr>
          <w:color w:val="auto"/>
          <w:highlight w:val="none"/>
        </w:rPr>
      </w:pPr>
      <w:r>
        <w:rPr>
          <w:rFonts w:hint="eastAsia" w:ascii="宋体" w:hAnsi="宋体" w:cs="宋体"/>
          <w:color w:val="auto"/>
          <w:kern w:val="0"/>
          <w:sz w:val="24"/>
          <w:highlight w:val="none"/>
        </w:rPr>
        <w:t>年    月    日</w:t>
      </w:r>
    </w:p>
    <w:p w14:paraId="31616BC7">
      <w:pPr>
        <w:widowControl/>
        <w:wordWrap w:val="0"/>
        <w:spacing w:line="460" w:lineRule="exact"/>
        <w:ind w:firstLine="4800" w:firstLineChars="2000"/>
        <w:jc w:val="left"/>
        <w:rPr>
          <w:color w:val="auto"/>
          <w:highlight w:val="none"/>
        </w:rPr>
      </w:pPr>
      <w:r>
        <w:rPr>
          <w:rFonts w:hint="eastAsia" w:ascii="宋体" w:hAnsi="宋体" w:cs="宋体"/>
          <w:color w:val="000000" w:themeColor="text1"/>
          <w:kern w:val="0"/>
          <w:sz w:val="24"/>
          <w:highlight w:val="none"/>
          <w14:textFill>
            <w14:solidFill>
              <w14:schemeClr w14:val="tx1"/>
            </w14:solidFill>
          </w14:textFill>
        </w:rPr>
        <w:t xml:space="preserve">     </w:t>
      </w:r>
    </w:p>
    <w:p w14:paraId="12EE943E">
      <w:pPr>
        <w:pStyle w:val="5"/>
        <w:rPr>
          <w:rFonts w:hint="eastAsia" w:eastAsia="黑体"/>
          <w:color w:val="auto"/>
          <w:highlight w:val="none"/>
          <w:lang w:val="en-US" w:eastAsia="zh-CN"/>
        </w:rPr>
      </w:pPr>
      <w:r>
        <w:rPr>
          <w:rFonts w:hint="eastAsia"/>
          <w:color w:val="auto"/>
          <w:highlight w:val="none"/>
        </w:rPr>
        <w:br w:type="page"/>
      </w:r>
      <w:bookmarkStart w:id="74" w:name="_Toc15804"/>
      <w:bookmarkStart w:id="75" w:name="_Toc226"/>
      <w:r>
        <w:rPr>
          <w:rFonts w:hint="eastAsia"/>
          <w:color w:val="auto"/>
          <w:highlight w:val="none"/>
        </w:rPr>
        <w:t xml:space="preserve">附件5         </w:t>
      </w:r>
      <w:bookmarkEnd w:id="74"/>
      <w:bookmarkEnd w:id="75"/>
      <w:r>
        <w:rPr>
          <w:rFonts w:hint="eastAsia"/>
          <w:color w:val="auto"/>
          <w:highlight w:val="none"/>
        </w:rPr>
        <w:t xml:space="preserve">     技术响应</w:t>
      </w:r>
      <w:r>
        <w:rPr>
          <w:rFonts w:hint="eastAsia"/>
          <w:color w:val="auto"/>
          <w:highlight w:val="none"/>
          <w:lang w:val="en-US" w:eastAsia="zh-CN"/>
        </w:rPr>
        <w:t>表（格式）</w:t>
      </w:r>
    </w:p>
    <w:p w14:paraId="746F573E">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p>
    <w:tbl>
      <w:tblPr>
        <w:tblStyle w:val="33"/>
        <w:tblpPr w:leftFromText="180" w:rightFromText="180" w:vertAnchor="text" w:horzAnchor="page" w:tblpX="1410" w:tblpY="53"/>
        <w:tblOverlap w:val="never"/>
        <w:tblW w:w="89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9"/>
        <w:gridCol w:w="1712"/>
        <w:gridCol w:w="2114"/>
        <w:gridCol w:w="2273"/>
        <w:gridCol w:w="1952"/>
      </w:tblGrid>
      <w:tr w14:paraId="1415E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869" w:type="dxa"/>
            <w:vAlign w:val="center"/>
          </w:tcPr>
          <w:p w14:paraId="0FDB2F94">
            <w:pPr>
              <w:jc w:val="center"/>
              <w:rPr>
                <w:color w:val="auto"/>
                <w:sz w:val="24"/>
                <w:highlight w:val="none"/>
              </w:rPr>
            </w:pPr>
            <w:r>
              <w:rPr>
                <w:rFonts w:hint="eastAsia"/>
                <w:color w:val="auto"/>
                <w:sz w:val="24"/>
                <w:highlight w:val="none"/>
              </w:rPr>
              <w:t>序号</w:t>
            </w:r>
          </w:p>
        </w:tc>
        <w:tc>
          <w:tcPr>
            <w:tcW w:w="1712" w:type="dxa"/>
            <w:vAlign w:val="center"/>
          </w:tcPr>
          <w:p w14:paraId="5C733D74">
            <w:pPr>
              <w:jc w:val="center"/>
              <w:rPr>
                <w:color w:val="auto"/>
                <w:sz w:val="24"/>
                <w:highlight w:val="none"/>
              </w:rPr>
            </w:pPr>
            <w:r>
              <w:rPr>
                <w:rFonts w:hint="eastAsia"/>
                <w:color w:val="auto"/>
                <w:sz w:val="24"/>
                <w:highlight w:val="none"/>
              </w:rPr>
              <w:t>货物名称</w:t>
            </w:r>
          </w:p>
        </w:tc>
        <w:tc>
          <w:tcPr>
            <w:tcW w:w="2114" w:type="dxa"/>
            <w:vAlign w:val="center"/>
          </w:tcPr>
          <w:p w14:paraId="1D5FA819">
            <w:pPr>
              <w:spacing w:line="360" w:lineRule="auto"/>
              <w:jc w:val="center"/>
              <w:rPr>
                <w:color w:val="auto"/>
                <w:sz w:val="24"/>
                <w:highlight w:val="none"/>
              </w:rPr>
            </w:pPr>
            <w:r>
              <w:rPr>
                <w:rFonts w:hint="eastAsia" w:ascii="宋体" w:hAnsi="宋体" w:cs="宋体"/>
                <w:color w:val="auto"/>
                <w:kern w:val="0"/>
                <w:sz w:val="24"/>
                <w:highlight w:val="none"/>
                <w:lang w:val="en-US" w:eastAsia="zh-CN"/>
              </w:rPr>
              <w:t>采购</w:t>
            </w:r>
            <w:r>
              <w:rPr>
                <w:rFonts w:hint="eastAsia" w:ascii="宋体" w:hAnsi="宋体" w:cs="宋体"/>
                <w:color w:val="auto"/>
                <w:kern w:val="0"/>
                <w:sz w:val="24"/>
                <w:highlight w:val="none"/>
              </w:rPr>
              <w:t>文件要求</w:t>
            </w:r>
          </w:p>
        </w:tc>
        <w:tc>
          <w:tcPr>
            <w:tcW w:w="2273" w:type="dxa"/>
            <w:vAlign w:val="center"/>
          </w:tcPr>
          <w:p w14:paraId="2F7BC116">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投标文件响应</w:t>
            </w:r>
          </w:p>
        </w:tc>
        <w:tc>
          <w:tcPr>
            <w:tcW w:w="1952" w:type="dxa"/>
            <w:vAlign w:val="center"/>
          </w:tcPr>
          <w:p w14:paraId="0857DA4D">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偏离情况</w:t>
            </w:r>
          </w:p>
        </w:tc>
      </w:tr>
      <w:tr w14:paraId="7A062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14:paraId="71AF93AD">
            <w:pPr>
              <w:jc w:val="center"/>
              <w:rPr>
                <w:color w:val="auto"/>
                <w:sz w:val="24"/>
                <w:highlight w:val="none"/>
              </w:rPr>
            </w:pPr>
            <w:r>
              <w:rPr>
                <w:rFonts w:hint="eastAsia"/>
                <w:color w:val="auto"/>
                <w:sz w:val="24"/>
                <w:highlight w:val="none"/>
              </w:rPr>
              <w:t>1</w:t>
            </w:r>
          </w:p>
        </w:tc>
        <w:tc>
          <w:tcPr>
            <w:tcW w:w="1712" w:type="dxa"/>
            <w:vAlign w:val="center"/>
          </w:tcPr>
          <w:p w14:paraId="1F9D3C26">
            <w:pPr>
              <w:jc w:val="center"/>
              <w:rPr>
                <w:color w:val="auto"/>
                <w:sz w:val="24"/>
                <w:highlight w:val="none"/>
              </w:rPr>
            </w:pPr>
          </w:p>
        </w:tc>
        <w:tc>
          <w:tcPr>
            <w:tcW w:w="2114" w:type="dxa"/>
            <w:vAlign w:val="center"/>
          </w:tcPr>
          <w:p w14:paraId="2D8CBBB6">
            <w:pPr>
              <w:jc w:val="center"/>
              <w:rPr>
                <w:color w:val="auto"/>
                <w:sz w:val="24"/>
                <w:highlight w:val="none"/>
              </w:rPr>
            </w:pPr>
          </w:p>
        </w:tc>
        <w:tc>
          <w:tcPr>
            <w:tcW w:w="2273" w:type="dxa"/>
            <w:vAlign w:val="center"/>
          </w:tcPr>
          <w:p w14:paraId="1A5EF41A">
            <w:pPr>
              <w:jc w:val="center"/>
              <w:rPr>
                <w:color w:val="auto"/>
                <w:sz w:val="24"/>
                <w:highlight w:val="none"/>
              </w:rPr>
            </w:pPr>
          </w:p>
        </w:tc>
        <w:tc>
          <w:tcPr>
            <w:tcW w:w="1952" w:type="dxa"/>
            <w:vAlign w:val="center"/>
          </w:tcPr>
          <w:p w14:paraId="5AD42CB1">
            <w:pPr>
              <w:jc w:val="center"/>
              <w:rPr>
                <w:color w:val="auto"/>
                <w:sz w:val="24"/>
                <w:highlight w:val="none"/>
              </w:rPr>
            </w:pPr>
          </w:p>
        </w:tc>
      </w:tr>
      <w:tr w14:paraId="38CF9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14:paraId="4406E81A">
            <w:pPr>
              <w:jc w:val="center"/>
              <w:rPr>
                <w:color w:val="auto"/>
                <w:sz w:val="24"/>
                <w:highlight w:val="none"/>
              </w:rPr>
            </w:pPr>
            <w:r>
              <w:rPr>
                <w:rFonts w:hint="eastAsia"/>
                <w:color w:val="auto"/>
                <w:sz w:val="24"/>
                <w:highlight w:val="none"/>
              </w:rPr>
              <w:t>2</w:t>
            </w:r>
          </w:p>
        </w:tc>
        <w:tc>
          <w:tcPr>
            <w:tcW w:w="1712" w:type="dxa"/>
            <w:vAlign w:val="center"/>
          </w:tcPr>
          <w:p w14:paraId="6F8563ED">
            <w:pPr>
              <w:jc w:val="center"/>
              <w:rPr>
                <w:color w:val="auto"/>
                <w:sz w:val="24"/>
                <w:highlight w:val="none"/>
              </w:rPr>
            </w:pPr>
          </w:p>
        </w:tc>
        <w:tc>
          <w:tcPr>
            <w:tcW w:w="2114" w:type="dxa"/>
            <w:vAlign w:val="center"/>
          </w:tcPr>
          <w:p w14:paraId="289E42D4">
            <w:pPr>
              <w:jc w:val="center"/>
              <w:rPr>
                <w:color w:val="auto"/>
                <w:sz w:val="24"/>
                <w:highlight w:val="none"/>
              </w:rPr>
            </w:pPr>
          </w:p>
        </w:tc>
        <w:tc>
          <w:tcPr>
            <w:tcW w:w="2273" w:type="dxa"/>
            <w:vAlign w:val="center"/>
          </w:tcPr>
          <w:p w14:paraId="5DBED0C1">
            <w:pPr>
              <w:jc w:val="center"/>
              <w:rPr>
                <w:bCs/>
                <w:color w:val="auto"/>
                <w:sz w:val="24"/>
                <w:highlight w:val="none"/>
              </w:rPr>
            </w:pPr>
          </w:p>
        </w:tc>
        <w:tc>
          <w:tcPr>
            <w:tcW w:w="1952" w:type="dxa"/>
            <w:vAlign w:val="center"/>
          </w:tcPr>
          <w:p w14:paraId="09A22F88">
            <w:pPr>
              <w:jc w:val="center"/>
              <w:rPr>
                <w:bCs/>
                <w:color w:val="auto"/>
                <w:sz w:val="24"/>
                <w:highlight w:val="none"/>
              </w:rPr>
            </w:pPr>
          </w:p>
        </w:tc>
      </w:tr>
      <w:tr w14:paraId="6D5CE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14:paraId="36D35E94">
            <w:pPr>
              <w:jc w:val="center"/>
              <w:rPr>
                <w:color w:val="auto"/>
                <w:sz w:val="24"/>
                <w:highlight w:val="none"/>
              </w:rPr>
            </w:pPr>
            <w:r>
              <w:rPr>
                <w:rFonts w:hint="eastAsia"/>
                <w:color w:val="auto"/>
                <w:sz w:val="24"/>
                <w:highlight w:val="none"/>
              </w:rPr>
              <w:t>3</w:t>
            </w:r>
          </w:p>
        </w:tc>
        <w:tc>
          <w:tcPr>
            <w:tcW w:w="1712" w:type="dxa"/>
            <w:vAlign w:val="center"/>
          </w:tcPr>
          <w:p w14:paraId="4002FB20">
            <w:pPr>
              <w:jc w:val="center"/>
              <w:rPr>
                <w:color w:val="auto"/>
                <w:sz w:val="24"/>
                <w:highlight w:val="none"/>
              </w:rPr>
            </w:pPr>
          </w:p>
        </w:tc>
        <w:tc>
          <w:tcPr>
            <w:tcW w:w="2114" w:type="dxa"/>
            <w:vAlign w:val="center"/>
          </w:tcPr>
          <w:p w14:paraId="4AF4293F">
            <w:pPr>
              <w:jc w:val="center"/>
              <w:rPr>
                <w:color w:val="auto"/>
                <w:sz w:val="24"/>
                <w:highlight w:val="none"/>
              </w:rPr>
            </w:pPr>
          </w:p>
        </w:tc>
        <w:tc>
          <w:tcPr>
            <w:tcW w:w="2273" w:type="dxa"/>
            <w:vAlign w:val="center"/>
          </w:tcPr>
          <w:p w14:paraId="1D5864B5">
            <w:pPr>
              <w:jc w:val="center"/>
              <w:rPr>
                <w:bCs/>
                <w:color w:val="auto"/>
                <w:sz w:val="24"/>
                <w:highlight w:val="none"/>
              </w:rPr>
            </w:pPr>
          </w:p>
        </w:tc>
        <w:tc>
          <w:tcPr>
            <w:tcW w:w="1952" w:type="dxa"/>
            <w:vAlign w:val="center"/>
          </w:tcPr>
          <w:p w14:paraId="5FADCBD6">
            <w:pPr>
              <w:jc w:val="center"/>
              <w:rPr>
                <w:bCs/>
                <w:color w:val="auto"/>
                <w:sz w:val="24"/>
                <w:highlight w:val="none"/>
              </w:rPr>
            </w:pPr>
          </w:p>
        </w:tc>
      </w:tr>
      <w:tr w14:paraId="0FF1E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14:paraId="02E21907">
            <w:pPr>
              <w:jc w:val="center"/>
              <w:rPr>
                <w:color w:val="auto"/>
                <w:sz w:val="24"/>
                <w:highlight w:val="none"/>
              </w:rPr>
            </w:pPr>
            <w:r>
              <w:rPr>
                <w:rFonts w:hint="eastAsia"/>
                <w:color w:val="auto"/>
                <w:sz w:val="24"/>
                <w:highlight w:val="none"/>
              </w:rPr>
              <w:t>4</w:t>
            </w:r>
          </w:p>
        </w:tc>
        <w:tc>
          <w:tcPr>
            <w:tcW w:w="1712" w:type="dxa"/>
            <w:vAlign w:val="center"/>
          </w:tcPr>
          <w:p w14:paraId="0225C9C0">
            <w:pPr>
              <w:jc w:val="center"/>
              <w:rPr>
                <w:color w:val="auto"/>
                <w:sz w:val="24"/>
                <w:highlight w:val="none"/>
              </w:rPr>
            </w:pPr>
          </w:p>
        </w:tc>
        <w:tc>
          <w:tcPr>
            <w:tcW w:w="2114" w:type="dxa"/>
            <w:vAlign w:val="center"/>
          </w:tcPr>
          <w:p w14:paraId="18ADD2C0">
            <w:pPr>
              <w:jc w:val="center"/>
              <w:rPr>
                <w:color w:val="auto"/>
                <w:sz w:val="24"/>
                <w:highlight w:val="none"/>
              </w:rPr>
            </w:pPr>
          </w:p>
        </w:tc>
        <w:tc>
          <w:tcPr>
            <w:tcW w:w="2273" w:type="dxa"/>
            <w:vAlign w:val="center"/>
          </w:tcPr>
          <w:p w14:paraId="27DB6112">
            <w:pPr>
              <w:jc w:val="center"/>
              <w:rPr>
                <w:bCs/>
                <w:color w:val="auto"/>
                <w:sz w:val="24"/>
                <w:highlight w:val="none"/>
              </w:rPr>
            </w:pPr>
          </w:p>
        </w:tc>
        <w:tc>
          <w:tcPr>
            <w:tcW w:w="1952" w:type="dxa"/>
            <w:vAlign w:val="center"/>
          </w:tcPr>
          <w:p w14:paraId="35AEF2D5">
            <w:pPr>
              <w:jc w:val="center"/>
              <w:rPr>
                <w:bCs/>
                <w:color w:val="auto"/>
                <w:sz w:val="24"/>
                <w:highlight w:val="none"/>
              </w:rPr>
            </w:pPr>
          </w:p>
        </w:tc>
      </w:tr>
      <w:tr w14:paraId="0F63D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14:paraId="44735A3B">
            <w:pPr>
              <w:jc w:val="center"/>
              <w:rPr>
                <w:color w:val="auto"/>
                <w:sz w:val="24"/>
                <w:highlight w:val="none"/>
              </w:rPr>
            </w:pPr>
            <w:r>
              <w:rPr>
                <w:rFonts w:hint="eastAsia"/>
                <w:color w:val="auto"/>
                <w:sz w:val="24"/>
                <w:highlight w:val="none"/>
              </w:rPr>
              <w:t>...</w:t>
            </w:r>
          </w:p>
        </w:tc>
        <w:tc>
          <w:tcPr>
            <w:tcW w:w="1712" w:type="dxa"/>
            <w:vAlign w:val="center"/>
          </w:tcPr>
          <w:p w14:paraId="4830F855">
            <w:pPr>
              <w:jc w:val="center"/>
              <w:rPr>
                <w:color w:val="auto"/>
                <w:sz w:val="24"/>
                <w:highlight w:val="none"/>
              </w:rPr>
            </w:pPr>
          </w:p>
        </w:tc>
        <w:tc>
          <w:tcPr>
            <w:tcW w:w="2114" w:type="dxa"/>
            <w:vAlign w:val="center"/>
          </w:tcPr>
          <w:p w14:paraId="1C9F7F2D">
            <w:pPr>
              <w:jc w:val="center"/>
              <w:rPr>
                <w:bCs/>
                <w:color w:val="auto"/>
                <w:sz w:val="24"/>
                <w:highlight w:val="none"/>
              </w:rPr>
            </w:pPr>
          </w:p>
        </w:tc>
        <w:tc>
          <w:tcPr>
            <w:tcW w:w="2273" w:type="dxa"/>
            <w:vAlign w:val="center"/>
          </w:tcPr>
          <w:p w14:paraId="02CC3033">
            <w:pPr>
              <w:jc w:val="center"/>
              <w:rPr>
                <w:bCs/>
                <w:color w:val="auto"/>
                <w:sz w:val="24"/>
                <w:highlight w:val="none"/>
              </w:rPr>
            </w:pPr>
          </w:p>
        </w:tc>
        <w:tc>
          <w:tcPr>
            <w:tcW w:w="1952" w:type="dxa"/>
            <w:vAlign w:val="center"/>
          </w:tcPr>
          <w:p w14:paraId="523F0514">
            <w:pPr>
              <w:jc w:val="center"/>
              <w:rPr>
                <w:bCs/>
                <w:color w:val="auto"/>
                <w:sz w:val="24"/>
                <w:highlight w:val="none"/>
              </w:rPr>
            </w:pPr>
          </w:p>
        </w:tc>
      </w:tr>
    </w:tbl>
    <w:p w14:paraId="4BE910D3">
      <w:pPr>
        <w:rPr>
          <w:b/>
          <w:color w:val="auto"/>
          <w:kern w:val="0"/>
          <w:sz w:val="24"/>
          <w:highlight w:val="none"/>
        </w:rPr>
      </w:pPr>
    </w:p>
    <w:p w14:paraId="352D371D">
      <w:pPr>
        <w:widowControl/>
        <w:wordWrap w:val="0"/>
        <w:spacing w:before="50" w:after="50" w:line="480" w:lineRule="auto"/>
        <w:jc w:val="left"/>
        <w:rPr>
          <w:rFonts w:ascii="宋体" w:hAnsi="宋体" w:cs="宋体"/>
          <w:bCs/>
          <w:color w:val="auto"/>
          <w:kern w:val="0"/>
          <w:sz w:val="24"/>
          <w:highlight w:val="none"/>
        </w:rPr>
      </w:pPr>
      <w:r>
        <w:rPr>
          <w:rFonts w:hint="eastAsia" w:ascii="宋体" w:hAnsi="宋体" w:cs="宋体"/>
          <w:bCs/>
          <w:color w:val="auto"/>
          <w:kern w:val="0"/>
          <w:sz w:val="24"/>
          <w:highlight w:val="none"/>
        </w:rPr>
        <w:t>注：投标人必须如实完整填写表格， “偏离情况”是指“正偏离”、“负偏离”或“无偏离”。</w:t>
      </w:r>
    </w:p>
    <w:p w14:paraId="305FD45B">
      <w:pPr>
        <w:pStyle w:val="52"/>
        <w:rPr>
          <w:bCs/>
          <w:color w:val="auto"/>
          <w:kern w:val="0"/>
          <w:highlight w:val="none"/>
        </w:rPr>
      </w:pPr>
    </w:p>
    <w:p w14:paraId="78601181">
      <w:pPr>
        <w:pStyle w:val="52"/>
        <w:rPr>
          <w:bCs/>
          <w:color w:val="auto"/>
          <w:kern w:val="0"/>
          <w:highlight w:val="none"/>
        </w:rPr>
      </w:pPr>
    </w:p>
    <w:p w14:paraId="07858222">
      <w:pPr>
        <w:pageBreakBefore w:val="0"/>
        <w:widowControl/>
        <w:wordWrap/>
        <w:overflowPunct/>
        <w:topLinePunct w:val="0"/>
        <w:bidi w:val="0"/>
        <w:spacing w:line="360" w:lineRule="auto"/>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（全称并加盖公章）</w:t>
      </w:r>
    </w:p>
    <w:p w14:paraId="426B468F">
      <w:pPr>
        <w:widowControl/>
        <w:wordWrap w:val="0"/>
        <w:spacing w:line="460" w:lineRule="exact"/>
        <w:ind w:firstLine="1920" w:firstLineChars="800"/>
        <w:jc w:val="left"/>
        <w:rPr>
          <w:rFonts w:hint="eastAsia" w:ascii="宋体" w:hAnsi="宋体" w:cs="宋体"/>
          <w:b/>
          <w:color w:val="auto"/>
          <w:kern w:val="0"/>
          <w:sz w:val="32"/>
          <w:szCs w:val="32"/>
          <w:highlight w:val="none"/>
          <w:lang w:val="en-US" w:eastAsia="zh-CN"/>
        </w:rPr>
      </w:pPr>
      <w:r>
        <w:rPr>
          <w:rFonts w:hint="eastAsia" w:ascii="宋体" w:hAnsi="宋体" w:eastAsia="宋体" w:cs="宋体"/>
          <w:color w:val="auto"/>
          <w:sz w:val="24"/>
          <w:szCs w:val="24"/>
          <w:highlight w:val="none"/>
        </w:rPr>
        <w:t>年    月    日</w:t>
      </w:r>
    </w:p>
    <w:p w14:paraId="489A630D">
      <w:pPr>
        <w:rPr>
          <w:rFonts w:hint="eastAsia" w:ascii="宋体" w:hAnsi="宋体" w:eastAsia="宋体" w:cs="宋体"/>
          <w:color w:val="auto"/>
          <w:kern w:val="0"/>
          <w:sz w:val="24"/>
          <w:highlight w:val="none"/>
          <w:u w:val="single"/>
          <w:lang w:eastAsia="zh-CN"/>
        </w:rPr>
      </w:pPr>
      <w:r>
        <w:rPr>
          <w:rFonts w:hint="eastAsia" w:ascii="宋体" w:hAnsi="宋体" w:cs="宋体"/>
          <w:b/>
          <w:color w:val="auto"/>
          <w:kern w:val="0"/>
          <w:sz w:val="24"/>
          <w:highlight w:val="none"/>
        </w:rPr>
        <w:br w:type="page"/>
      </w:r>
    </w:p>
    <w:p w14:paraId="4732310D">
      <w:pPr>
        <w:widowControl/>
        <w:wordWrap w:val="0"/>
        <w:snapToGrid w:val="0"/>
        <w:spacing w:line="460" w:lineRule="exact"/>
        <w:jc w:val="left"/>
        <w:outlineLvl w:val="0"/>
        <w:rPr>
          <w:rFonts w:hint="eastAsia" w:ascii="Arial" w:hAnsi="Arial" w:eastAsia="黑体" w:cs="Times New Roman"/>
          <w:b/>
          <w:bCs/>
          <w:color w:val="auto"/>
          <w:kern w:val="2"/>
          <w:sz w:val="32"/>
          <w:szCs w:val="32"/>
          <w:highlight w:val="none"/>
          <w:lang w:val="en-US" w:eastAsia="zh-CN" w:bidi="ar-SA"/>
        </w:rPr>
      </w:pPr>
      <w:bookmarkStart w:id="76" w:name="_Toc29960"/>
      <w:bookmarkStart w:id="77" w:name="_Toc24168"/>
      <w:bookmarkStart w:id="78" w:name="_Toc20420"/>
      <w:r>
        <w:rPr>
          <w:rFonts w:hint="eastAsia" w:ascii="Arial" w:hAnsi="Arial" w:eastAsia="黑体" w:cs="Times New Roman"/>
          <w:b/>
          <w:bCs/>
          <w:color w:val="auto"/>
          <w:kern w:val="2"/>
          <w:sz w:val="32"/>
          <w:szCs w:val="32"/>
          <w:highlight w:val="none"/>
          <w:lang w:val="en-US" w:eastAsia="zh-CN" w:bidi="ar-SA"/>
        </w:rPr>
        <w:t xml:space="preserve">附件6               </w:t>
      </w:r>
      <w:bookmarkEnd w:id="76"/>
      <w:bookmarkEnd w:id="77"/>
      <w:bookmarkEnd w:id="78"/>
      <w:r>
        <w:rPr>
          <w:rFonts w:hint="eastAsia" w:ascii="Arial" w:hAnsi="Arial" w:eastAsia="黑体" w:cs="Times New Roman"/>
          <w:b/>
          <w:bCs/>
          <w:color w:val="auto"/>
          <w:kern w:val="2"/>
          <w:sz w:val="32"/>
          <w:szCs w:val="32"/>
          <w:highlight w:val="none"/>
          <w:lang w:val="en-US" w:eastAsia="zh-CN" w:bidi="ar-SA"/>
        </w:rPr>
        <w:t xml:space="preserve"> 商务响应表（格式）</w:t>
      </w:r>
    </w:p>
    <w:p w14:paraId="2330EBEF">
      <w:pPr>
        <w:widowControl/>
        <w:wordWrap w:val="0"/>
        <w:spacing w:line="460" w:lineRule="exact"/>
        <w:jc w:val="left"/>
        <w:rPr>
          <w:rFonts w:hint="eastAsia" w:ascii="宋体" w:hAnsi="宋体" w:cs="宋体"/>
          <w:b/>
          <w:color w:val="auto"/>
          <w:kern w:val="0"/>
          <w:sz w:val="32"/>
          <w:szCs w:val="32"/>
          <w:highlight w:val="none"/>
          <w:lang w:val="en-US" w:eastAsia="zh-CN"/>
        </w:rPr>
      </w:pPr>
      <w:r>
        <w:rPr>
          <w:rFonts w:hint="eastAsia" w:ascii="宋体" w:hAnsi="宋体" w:cs="宋体"/>
          <w:b/>
          <w:color w:val="auto"/>
          <w:kern w:val="0"/>
          <w:sz w:val="32"/>
          <w:szCs w:val="32"/>
          <w:highlight w:val="none"/>
          <w:lang w:val="en-US" w:eastAsia="zh-CN"/>
        </w:rPr>
        <w:t xml:space="preserve">  </w:t>
      </w:r>
    </w:p>
    <w:tbl>
      <w:tblPr>
        <w:tblStyle w:val="89"/>
        <w:tblW w:w="9340" w:type="dxa"/>
        <w:tblInd w:w="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96"/>
        <w:gridCol w:w="2054"/>
        <w:gridCol w:w="1866"/>
        <w:gridCol w:w="1612"/>
        <w:gridCol w:w="1612"/>
      </w:tblGrid>
      <w:tr w14:paraId="452A34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31" w:hRule="atLeast"/>
        </w:trPr>
        <w:tc>
          <w:tcPr>
            <w:tcW w:w="2196" w:type="dxa"/>
            <w:noWrap w:val="0"/>
            <w:vAlign w:val="center"/>
          </w:tcPr>
          <w:p w14:paraId="4978E0AE">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w:t>
            </w:r>
          </w:p>
        </w:tc>
        <w:tc>
          <w:tcPr>
            <w:tcW w:w="2054" w:type="dxa"/>
            <w:noWrap w:val="0"/>
            <w:vAlign w:val="center"/>
          </w:tcPr>
          <w:p w14:paraId="0EF7DF43">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采购</w:t>
            </w:r>
            <w:r>
              <w:rPr>
                <w:rFonts w:hint="eastAsia" w:ascii="宋体" w:hAnsi="宋体" w:eastAsia="宋体" w:cs="宋体"/>
                <w:color w:val="auto"/>
                <w:sz w:val="24"/>
                <w:szCs w:val="24"/>
                <w:highlight w:val="none"/>
              </w:rPr>
              <w:t>文件要求</w:t>
            </w:r>
          </w:p>
        </w:tc>
        <w:tc>
          <w:tcPr>
            <w:tcW w:w="1866" w:type="dxa"/>
            <w:noWrap w:val="0"/>
            <w:vAlign w:val="center"/>
          </w:tcPr>
          <w:p w14:paraId="095925F6">
            <w:pPr>
              <w:pageBreakBefore w:val="0"/>
              <w:widowControl/>
              <w:wordWrap/>
              <w:overflowPunct/>
              <w:topLinePunct w:val="0"/>
              <w:bidi w:val="0"/>
              <w:spacing w:line="360" w:lineRule="auto"/>
              <w:jc w:val="center"/>
              <w:textAlignment w:val="baseline"/>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投标文件</w:t>
            </w:r>
          </w:p>
          <w:p w14:paraId="55CE9B4E">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响应情况</w:t>
            </w:r>
          </w:p>
        </w:tc>
        <w:tc>
          <w:tcPr>
            <w:tcW w:w="1612" w:type="dxa"/>
            <w:noWrap w:val="0"/>
            <w:vAlign w:val="center"/>
          </w:tcPr>
          <w:p w14:paraId="69D57BB7">
            <w:pPr>
              <w:pageBreakBefore w:val="0"/>
              <w:widowControl/>
              <w:wordWrap/>
              <w:overflowPunct/>
              <w:topLinePunct w:val="0"/>
              <w:bidi w:val="0"/>
              <w:spacing w:line="360" w:lineRule="auto"/>
              <w:jc w:val="center"/>
              <w:textAlignment w:val="baseline"/>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对采购文件</w:t>
            </w:r>
          </w:p>
          <w:p w14:paraId="11DD9A9E">
            <w:pPr>
              <w:pageBreakBefore w:val="0"/>
              <w:widowControl/>
              <w:wordWrap/>
              <w:overflowPunct/>
              <w:topLinePunct w:val="0"/>
              <w:bidi w:val="0"/>
              <w:spacing w:line="360" w:lineRule="auto"/>
              <w:jc w:val="center"/>
              <w:textAlignment w:val="baseline"/>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偏差</w:t>
            </w:r>
          </w:p>
        </w:tc>
        <w:tc>
          <w:tcPr>
            <w:tcW w:w="1612" w:type="dxa"/>
            <w:noWrap w:val="0"/>
            <w:vAlign w:val="center"/>
          </w:tcPr>
          <w:p w14:paraId="3812D278">
            <w:pPr>
              <w:pageBreakBefore w:val="0"/>
              <w:widowControl/>
              <w:wordWrap/>
              <w:overflowPunct/>
              <w:topLinePunct w:val="0"/>
              <w:bidi w:val="0"/>
              <w:spacing w:line="360" w:lineRule="auto"/>
              <w:jc w:val="center"/>
              <w:textAlignment w:val="baseline"/>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备注</w:t>
            </w:r>
          </w:p>
        </w:tc>
      </w:tr>
      <w:tr w14:paraId="7D40F5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1691F589">
            <w:pPr>
              <w:pStyle w:val="13"/>
              <w:ind w:left="0" w:leftChars="0"/>
              <w:jc w:val="center"/>
              <w:rPr>
                <w:rFonts w:hint="eastAsia" w:ascii="宋体" w:hAnsi="宋体" w:eastAsia="宋体" w:cs="宋体"/>
                <w:kern w:val="0"/>
                <w:sz w:val="21"/>
                <w:szCs w:val="21"/>
                <w:highlight w:val="none"/>
                <w:lang w:val="en-US" w:eastAsia="zh-CN" w:bidi="ar-SA"/>
              </w:rPr>
            </w:pPr>
            <w:r>
              <w:rPr>
                <w:rFonts w:hint="eastAsia" w:ascii="宋体" w:hAnsi="宋体" w:eastAsia="宋体" w:cs="宋体"/>
                <w:sz w:val="21"/>
                <w:szCs w:val="21"/>
                <w:highlight w:val="none"/>
                <w:lang w:val="en-US" w:eastAsia="zh-CN"/>
              </w:rPr>
              <w:t>合同签订时间</w:t>
            </w:r>
          </w:p>
        </w:tc>
        <w:tc>
          <w:tcPr>
            <w:tcW w:w="2054" w:type="dxa"/>
            <w:noWrap w:val="0"/>
            <w:vAlign w:val="center"/>
          </w:tcPr>
          <w:p w14:paraId="1FE379BC">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36E2B416">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6108026D">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1DD197F2">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2E08E7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04084CE6">
            <w:pPr>
              <w:pStyle w:val="13"/>
              <w:ind w:left="0" w:leftChars="0"/>
              <w:jc w:val="center"/>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cs="宋体"/>
                <w:color w:val="000000" w:themeColor="text1"/>
                <w:sz w:val="21"/>
                <w:szCs w:val="21"/>
                <w:highlight w:val="none"/>
                <w:lang w:val="en-US" w:eastAsia="zh-CN"/>
                <w14:textFill>
                  <w14:solidFill>
                    <w14:schemeClr w14:val="tx1"/>
                  </w14:solidFill>
                </w14:textFill>
              </w:rPr>
              <w:t>交货期</w:t>
            </w:r>
          </w:p>
        </w:tc>
        <w:tc>
          <w:tcPr>
            <w:tcW w:w="2054" w:type="dxa"/>
            <w:noWrap w:val="0"/>
            <w:vAlign w:val="center"/>
          </w:tcPr>
          <w:p w14:paraId="73A9BA8E">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7796E95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6DEF3FEA">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2F71549E">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2B2882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12E7303B">
            <w:pPr>
              <w:pStyle w:val="13"/>
              <w:ind w:left="0" w:leftChars="0"/>
              <w:jc w:val="center"/>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cs="宋体"/>
                <w:color w:val="000000" w:themeColor="text1"/>
                <w:sz w:val="21"/>
                <w:szCs w:val="21"/>
                <w:highlight w:val="none"/>
                <w:lang w:val="en-US" w:eastAsia="zh-CN"/>
                <w14:textFill>
                  <w14:solidFill>
                    <w14:schemeClr w14:val="tx1"/>
                  </w14:solidFill>
                </w14:textFill>
              </w:rPr>
              <w:t>交货地点</w:t>
            </w:r>
          </w:p>
        </w:tc>
        <w:tc>
          <w:tcPr>
            <w:tcW w:w="2054" w:type="dxa"/>
            <w:noWrap w:val="0"/>
            <w:vAlign w:val="center"/>
          </w:tcPr>
          <w:p w14:paraId="4EDB3152">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43CFB9C8">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082F6F5F">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07A5D7DD">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13DF75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07620433">
            <w:pPr>
              <w:pStyle w:val="13"/>
              <w:ind w:left="0" w:leftChars="0"/>
              <w:jc w:val="center"/>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质量要求</w:t>
            </w:r>
          </w:p>
        </w:tc>
        <w:tc>
          <w:tcPr>
            <w:tcW w:w="2054" w:type="dxa"/>
            <w:noWrap w:val="0"/>
            <w:vAlign w:val="center"/>
          </w:tcPr>
          <w:p w14:paraId="711BCFC3">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39FE0466">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77CC684E">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4B7CB380">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11B2774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77358FB3">
            <w:pPr>
              <w:pStyle w:val="13"/>
              <w:ind w:left="0" w:leftChars="0"/>
              <w:jc w:val="center"/>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质保期</w:t>
            </w:r>
          </w:p>
        </w:tc>
        <w:tc>
          <w:tcPr>
            <w:tcW w:w="2054" w:type="dxa"/>
            <w:noWrap w:val="0"/>
            <w:vAlign w:val="center"/>
          </w:tcPr>
          <w:p w14:paraId="097C3C93">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38A7B9E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6BBC294C">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7223D599">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5AC695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0E03949A">
            <w:pPr>
              <w:pStyle w:val="13"/>
              <w:ind w:left="0" w:leftChars="0"/>
              <w:jc w:val="center"/>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eastAsia="宋体" w:cs="宋体"/>
                <w:sz w:val="21"/>
                <w:szCs w:val="21"/>
                <w:highlight w:val="none"/>
              </w:rPr>
              <w:t>付款方式</w:t>
            </w:r>
          </w:p>
        </w:tc>
        <w:tc>
          <w:tcPr>
            <w:tcW w:w="2054" w:type="dxa"/>
            <w:noWrap w:val="0"/>
            <w:vAlign w:val="center"/>
          </w:tcPr>
          <w:p w14:paraId="391CECA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69AD6F03">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0D24525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04B3BE5A">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bl>
    <w:p w14:paraId="41F1B450">
      <w:pPr>
        <w:rPr>
          <w:rFonts w:cs="宋体"/>
          <w:b/>
          <w:color w:val="auto"/>
          <w:kern w:val="0"/>
          <w:sz w:val="24"/>
          <w:highlight w:val="none"/>
        </w:rPr>
      </w:pPr>
    </w:p>
    <w:p w14:paraId="26ADCBD4">
      <w:pPr>
        <w:pageBreakBefore w:val="0"/>
        <w:widowControl/>
        <w:wordWrap/>
        <w:overflowPunct/>
        <w:topLinePunct w:val="0"/>
        <w:bidi w:val="0"/>
        <w:spacing w:line="360" w:lineRule="auto"/>
        <w:textAlignment w:val="baseline"/>
        <w:rPr>
          <w:rFonts w:hint="eastAsia" w:ascii="宋体" w:hAnsi="宋体" w:eastAsia="宋体" w:cs="宋体"/>
          <w:color w:val="auto"/>
          <w:sz w:val="24"/>
          <w:szCs w:val="24"/>
          <w:highlight w:val="none"/>
        </w:rPr>
      </w:pPr>
    </w:p>
    <w:p w14:paraId="674835D5">
      <w:pPr>
        <w:pageBreakBefore w:val="0"/>
        <w:widowControl/>
        <w:wordWrap/>
        <w:overflowPunct/>
        <w:topLinePunct w:val="0"/>
        <w:bidi w:val="0"/>
        <w:spacing w:line="360" w:lineRule="auto"/>
        <w:textAlignment w:val="baseline"/>
        <w:rPr>
          <w:rFonts w:hint="eastAsia" w:ascii="宋体" w:hAnsi="宋体" w:eastAsia="宋体" w:cs="宋体"/>
          <w:color w:val="auto"/>
          <w:sz w:val="24"/>
          <w:szCs w:val="24"/>
          <w:highlight w:val="none"/>
        </w:rPr>
      </w:pPr>
    </w:p>
    <w:p w14:paraId="00F7C49B">
      <w:pPr>
        <w:pageBreakBefore w:val="0"/>
        <w:widowControl/>
        <w:wordWrap/>
        <w:overflowPunct/>
        <w:topLinePunct w:val="0"/>
        <w:bidi w:val="0"/>
        <w:spacing w:line="360" w:lineRule="auto"/>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（全称并加盖公章）</w:t>
      </w:r>
    </w:p>
    <w:p w14:paraId="6280B0EC">
      <w:pPr>
        <w:pageBreakBefore w:val="0"/>
        <w:widowControl/>
        <w:wordWrap/>
        <w:overflowPunct/>
        <w:topLinePunct w:val="0"/>
        <w:bidi w:val="0"/>
        <w:spacing w:line="360" w:lineRule="auto"/>
        <w:ind w:firstLine="1440" w:firstLineChars="600"/>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年    月    日</w:t>
      </w:r>
    </w:p>
    <w:p w14:paraId="5676CF05">
      <w:pPr>
        <w:outlineLvl w:val="9"/>
      </w:pPr>
    </w:p>
    <w:p w14:paraId="0E9B3C59">
      <w:pPr>
        <w:outlineLvl w:val="9"/>
      </w:pPr>
    </w:p>
    <w:p w14:paraId="3ACEF53F">
      <w:pPr>
        <w:pStyle w:val="30"/>
      </w:pPr>
    </w:p>
    <w:p w14:paraId="3DCB77AB">
      <w:pPr>
        <w:outlineLvl w:val="9"/>
      </w:pPr>
    </w:p>
    <w:p w14:paraId="43E750C8">
      <w:pPr>
        <w:outlineLvl w:val="9"/>
      </w:pPr>
    </w:p>
    <w:p w14:paraId="61B41756">
      <w:pPr>
        <w:outlineLvl w:val="9"/>
      </w:pPr>
    </w:p>
    <w:p w14:paraId="21F4175E">
      <w:pPr>
        <w:outlineLvl w:val="9"/>
      </w:pPr>
    </w:p>
    <w:p w14:paraId="359A1E59">
      <w:pPr>
        <w:outlineLvl w:val="9"/>
      </w:pPr>
    </w:p>
    <w:p w14:paraId="34B366F7">
      <w:pPr>
        <w:outlineLvl w:val="9"/>
      </w:pPr>
    </w:p>
    <w:p w14:paraId="5D5FB7F9">
      <w:pPr>
        <w:outlineLvl w:val="9"/>
      </w:pPr>
    </w:p>
    <w:p w14:paraId="769B31A0">
      <w:pPr>
        <w:outlineLvl w:val="9"/>
      </w:pPr>
    </w:p>
    <w:p w14:paraId="6187E606">
      <w:pPr>
        <w:outlineLvl w:val="9"/>
      </w:pPr>
    </w:p>
    <w:p w14:paraId="71E0A3F4">
      <w:pPr>
        <w:outlineLvl w:val="9"/>
      </w:pPr>
    </w:p>
    <w:p w14:paraId="055BC67D">
      <w:pPr>
        <w:outlineLvl w:val="9"/>
      </w:pPr>
    </w:p>
    <w:p w14:paraId="0786BE1E">
      <w:pPr>
        <w:rPr>
          <w:rFonts w:hint="eastAsia" w:ascii="Arial" w:hAnsi="Arial" w:eastAsia="新宋体"/>
          <w:b/>
          <w:color w:val="auto"/>
          <w:sz w:val="28"/>
          <w:highlight w:val="none"/>
        </w:rPr>
      </w:pPr>
      <w:bookmarkStart w:id="79" w:name="_Toc28621"/>
      <w:bookmarkStart w:id="80" w:name="_Toc31526"/>
      <w:r>
        <w:rPr>
          <w:rFonts w:hint="eastAsia" w:ascii="Arial" w:hAnsi="Arial" w:eastAsia="新宋体"/>
          <w:b/>
          <w:color w:val="auto"/>
          <w:sz w:val="28"/>
          <w:highlight w:val="none"/>
        </w:rPr>
        <w:br w:type="page"/>
      </w:r>
    </w:p>
    <w:p w14:paraId="688017D8">
      <w:pPr>
        <w:widowControl/>
        <w:wordWrap w:val="0"/>
        <w:snapToGrid w:val="0"/>
        <w:spacing w:line="460" w:lineRule="exact"/>
        <w:jc w:val="left"/>
        <w:outlineLvl w:val="0"/>
        <w:rPr>
          <w:rFonts w:hint="eastAsia" w:ascii="Arial" w:hAnsi="Arial" w:eastAsia="黑体" w:cs="Times New Roman"/>
          <w:b/>
          <w:bCs/>
          <w:color w:val="auto"/>
          <w:kern w:val="2"/>
          <w:sz w:val="32"/>
          <w:szCs w:val="32"/>
          <w:highlight w:val="none"/>
          <w:lang w:val="en-US" w:eastAsia="zh-CN" w:bidi="ar-SA"/>
        </w:rPr>
      </w:pPr>
      <w:bookmarkStart w:id="81" w:name="_Toc29406"/>
      <w:r>
        <w:rPr>
          <w:rFonts w:hint="eastAsia" w:ascii="Arial" w:hAnsi="Arial" w:eastAsia="黑体" w:cs="Times New Roman"/>
          <w:b/>
          <w:bCs/>
          <w:color w:val="auto"/>
          <w:kern w:val="2"/>
          <w:sz w:val="32"/>
          <w:szCs w:val="32"/>
          <w:highlight w:val="none"/>
          <w:lang w:val="en-US" w:eastAsia="zh-CN" w:bidi="ar-SA"/>
        </w:rPr>
        <w:t>附件7               法定代表人身份证明（格式）</w:t>
      </w:r>
      <w:bookmarkEnd w:id="79"/>
      <w:bookmarkEnd w:id="80"/>
      <w:bookmarkEnd w:id="81"/>
    </w:p>
    <w:p w14:paraId="5A25CC93">
      <w:pPr>
        <w:widowControl/>
        <w:wordWrap w:val="0"/>
        <w:spacing w:line="460" w:lineRule="exact"/>
        <w:jc w:val="left"/>
        <w:rPr>
          <w:rFonts w:ascii="宋体" w:hAnsi="宋体" w:cs="宋体"/>
          <w:color w:val="auto"/>
          <w:kern w:val="0"/>
          <w:sz w:val="24"/>
          <w:highlight w:val="none"/>
        </w:rPr>
      </w:pPr>
    </w:p>
    <w:p w14:paraId="50CC9948">
      <w:pPr>
        <w:widowControl/>
        <w:wordWrap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名称：</w:t>
      </w:r>
      <w:r>
        <w:rPr>
          <w:rFonts w:hint="eastAsia" w:ascii="宋体" w:hAnsi="宋体" w:cs="宋体"/>
          <w:color w:val="auto"/>
          <w:kern w:val="0"/>
          <w:szCs w:val="21"/>
          <w:highlight w:val="none"/>
          <w:u w:val="single"/>
          <w:lang w:val="en-US" w:eastAsia="zh-CN"/>
        </w:rPr>
        <w:t xml:space="preserve">                                </w:t>
      </w:r>
    </w:p>
    <w:p w14:paraId="508D6732">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地址：</w:t>
      </w:r>
      <w:r>
        <w:rPr>
          <w:rFonts w:hint="eastAsia" w:ascii="宋体" w:hAnsi="宋体" w:cs="宋体"/>
          <w:color w:val="auto"/>
          <w:kern w:val="0"/>
          <w:szCs w:val="21"/>
          <w:highlight w:val="none"/>
          <w:u w:val="single"/>
          <w:lang w:val="en-US" w:eastAsia="zh-CN"/>
        </w:rPr>
        <w:t xml:space="preserve">                                        </w:t>
      </w:r>
    </w:p>
    <w:p w14:paraId="199401B8">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highlight w:val="none"/>
        </w:rPr>
        <w:t>成立时间：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年</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月</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日</w:t>
      </w:r>
    </w:p>
    <w:p w14:paraId="3E774256">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szCs w:val="20"/>
          <w:highlight w:val="none"/>
        </w:rPr>
        <w:t>经营期限：</w:t>
      </w:r>
      <w:r>
        <w:rPr>
          <w:rFonts w:hint="eastAsia" w:ascii="宋体" w:hAnsi="宋体" w:cs="宋体"/>
          <w:color w:val="auto"/>
          <w:kern w:val="0"/>
          <w:szCs w:val="21"/>
          <w:highlight w:val="none"/>
          <w:u w:val="single"/>
          <w:lang w:val="en-US" w:eastAsia="zh-CN"/>
        </w:rPr>
        <w:t xml:space="preserve">                        </w:t>
      </w:r>
    </w:p>
    <w:p w14:paraId="7BED978F">
      <w:pPr>
        <w:widowControl/>
        <w:wordWrap w:val="0"/>
        <w:spacing w:line="460" w:lineRule="exact"/>
        <w:ind w:firstLine="480" w:firstLineChars="200"/>
        <w:jc w:val="left"/>
        <w:rPr>
          <w:rFonts w:ascii="宋体" w:hAnsi="宋体" w:cs="宋体"/>
          <w:color w:val="auto"/>
          <w:kern w:val="0"/>
          <w:szCs w:val="21"/>
          <w:highlight w:val="none"/>
          <w:u w:val="single"/>
        </w:rPr>
      </w:pPr>
      <w:r>
        <w:rPr>
          <w:rFonts w:hint="eastAsia" w:ascii="宋体" w:hAnsi="宋体" w:cs="宋体"/>
          <w:color w:val="auto"/>
          <w:kern w:val="0"/>
          <w:sz w:val="24"/>
          <w:highlight w:val="none"/>
        </w:rPr>
        <w:t>姓名：</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，性别：</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，年龄：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，职务：</w:t>
      </w:r>
      <w:r>
        <w:rPr>
          <w:rFonts w:hint="eastAsia" w:ascii="宋体" w:hAnsi="宋体" w:cs="宋体"/>
          <w:color w:val="auto"/>
          <w:kern w:val="0"/>
          <w:szCs w:val="21"/>
          <w:highlight w:val="none"/>
          <w:u w:val="single"/>
          <w:lang w:val="en-US" w:eastAsia="zh-CN"/>
        </w:rPr>
        <w:t xml:space="preserve">        </w:t>
      </w:r>
    </w:p>
    <w:p w14:paraId="1436E571">
      <w:pPr>
        <w:widowControl/>
        <w:wordWrap w:val="0"/>
        <w:spacing w:line="460" w:lineRule="exact"/>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w:t>
      </w:r>
      <w:r>
        <w:rPr>
          <w:rFonts w:hint="eastAsia" w:ascii="宋体" w:hAnsi="宋体" w:cs="宋体"/>
          <w:color w:val="auto"/>
          <w:kern w:val="0"/>
          <w:sz w:val="24"/>
          <w:szCs w:val="20"/>
          <w:highlight w:val="none"/>
          <w:lang w:eastAsia="zh-CN"/>
        </w:rPr>
        <w:t>供应商</w:t>
      </w:r>
      <w:r>
        <w:rPr>
          <w:rFonts w:hint="eastAsia" w:ascii="宋体" w:hAnsi="宋体" w:cs="宋体"/>
          <w:color w:val="auto"/>
          <w:kern w:val="0"/>
          <w:sz w:val="24"/>
          <w:szCs w:val="20"/>
          <w:highlight w:val="none"/>
        </w:rPr>
        <w:t>名称）的法定代表人。</w:t>
      </w:r>
    </w:p>
    <w:p w14:paraId="13CCCC6E">
      <w:pPr>
        <w:widowControl/>
        <w:wordWrap w:val="0"/>
        <w:spacing w:line="460" w:lineRule="exact"/>
        <w:jc w:val="left"/>
        <w:rPr>
          <w:rFonts w:ascii="宋体" w:hAnsi="宋体" w:cs="宋体"/>
          <w:color w:val="auto"/>
          <w:kern w:val="0"/>
          <w:sz w:val="24"/>
          <w:szCs w:val="20"/>
          <w:highlight w:val="none"/>
        </w:rPr>
      </w:pPr>
    </w:p>
    <w:p w14:paraId="562184AA">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特此证明。</w:t>
      </w:r>
    </w:p>
    <w:p w14:paraId="0AF1FE1B">
      <w:pPr>
        <w:widowControl/>
        <w:wordWrap w:val="0"/>
        <w:spacing w:line="460" w:lineRule="exact"/>
        <w:jc w:val="left"/>
        <w:rPr>
          <w:rFonts w:ascii="宋体" w:hAnsi="宋体" w:cs="宋体"/>
          <w:color w:val="auto"/>
          <w:kern w:val="0"/>
          <w:sz w:val="24"/>
          <w:szCs w:val="20"/>
          <w:highlight w:val="none"/>
        </w:rPr>
      </w:pPr>
    </w:p>
    <w:p w14:paraId="2C973F96">
      <w:pPr>
        <w:widowControl/>
        <w:wordWrap w:val="0"/>
        <w:spacing w:beforeLines="100" w:afterLines="100" w:line="480" w:lineRule="exact"/>
        <w:jc w:val="center"/>
        <w:rPr>
          <w:rFonts w:ascii="宋体" w:hAnsi="宋体" w:cs="Lucida Sans Unicode"/>
          <w:b/>
          <w:color w:val="auto"/>
          <w:kern w:val="0"/>
          <w:sz w:val="36"/>
          <w:szCs w:val="36"/>
          <w:highlight w:val="none"/>
        </w:rPr>
      </w:pPr>
    </w:p>
    <w:tbl>
      <w:tblPr>
        <w:tblStyle w:val="32"/>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14:paraId="5EF870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14:paraId="25D282E3">
            <w:pPr>
              <w:widowControl/>
              <w:spacing w:line="480" w:lineRule="exact"/>
              <w:jc w:val="left"/>
              <w:rPr>
                <w:rFonts w:ascii="宋体" w:hAnsi="宋体" w:cs="Lucida Sans Unicode"/>
                <w:bCs/>
                <w:color w:val="auto"/>
                <w:kern w:val="0"/>
                <w:sz w:val="24"/>
                <w:highlight w:val="none"/>
              </w:rPr>
            </w:pPr>
            <w:r>
              <w:rPr>
                <w:rFonts w:hint="eastAsia" w:ascii="宋体" w:hAnsi="宋体" w:cs="Lucida Sans Unicode"/>
                <w:bCs/>
                <w:color w:val="auto"/>
                <w:kern w:val="0"/>
                <w:sz w:val="24"/>
                <w:highlight w:val="none"/>
              </w:rPr>
              <w:t>此处请粘贴法定代表人身份证复印件</w:t>
            </w:r>
          </w:p>
          <w:p w14:paraId="5DA5096B">
            <w:pPr>
              <w:widowControl/>
              <w:spacing w:line="480" w:lineRule="exact"/>
              <w:jc w:val="left"/>
              <w:rPr>
                <w:rFonts w:ascii="仿宋_GB2312" w:hAnsi="Lucida Sans Unicode" w:eastAsia="仿宋_GB2312" w:cs="Lucida Sans Unicode"/>
                <w:color w:val="auto"/>
                <w:kern w:val="0"/>
                <w:sz w:val="24"/>
                <w:highlight w:val="none"/>
              </w:rPr>
            </w:pPr>
          </w:p>
          <w:p w14:paraId="63F684AB">
            <w:pPr>
              <w:widowControl/>
              <w:spacing w:line="480" w:lineRule="exact"/>
              <w:jc w:val="left"/>
              <w:rPr>
                <w:rFonts w:ascii="仿宋_GB2312" w:hAnsi="Lucida Sans Unicode" w:eastAsia="仿宋_GB2312" w:cs="Lucida Sans Unicode"/>
                <w:color w:val="auto"/>
                <w:kern w:val="0"/>
                <w:sz w:val="24"/>
                <w:highlight w:val="none"/>
              </w:rPr>
            </w:pPr>
          </w:p>
        </w:tc>
      </w:tr>
    </w:tbl>
    <w:p w14:paraId="11E9C1BA">
      <w:pPr>
        <w:widowControl/>
        <w:wordWrap w:val="0"/>
        <w:spacing w:beforeLines="100" w:afterLines="100" w:line="480" w:lineRule="exact"/>
        <w:jc w:val="center"/>
        <w:rPr>
          <w:rFonts w:ascii="宋体" w:hAnsi="宋体" w:cs="Lucida Sans Unicode"/>
          <w:b/>
          <w:color w:val="auto"/>
          <w:kern w:val="0"/>
          <w:sz w:val="24"/>
          <w:highlight w:val="none"/>
        </w:rPr>
      </w:pPr>
    </w:p>
    <w:p w14:paraId="5B1DE518">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14:paraId="4DCB5DF6">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14:paraId="4F0763B8">
      <w:pPr>
        <w:widowControl/>
        <w:wordWrap w:val="0"/>
        <w:spacing w:line="480" w:lineRule="exact"/>
        <w:jc w:val="right"/>
        <w:rPr>
          <w:rFonts w:ascii="仿宋_GB2312" w:hAnsi="仿宋_GB2312" w:eastAsia="仿宋_GB2312" w:cs="Lucida Sans Unicode"/>
          <w:color w:val="auto"/>
          <w:kern w:val="0"/>
          <w:sz w:val="24"/>
          <w:highlight w:val="none"/>
        </w:rPr>
      </w:pPr>
    </w:p>
    <w:p w14:paraId="12E3D329">
      <w:pPr>
        <w:widowControl/>
        <w:wordWrap w:val="0"/>
        <w:spacing w:line="480" w:lineRule="exact"/>
        <w:jc w:val="right"/>
        <w:rPr>
          <w:rFonts w:ascii="仿宋_GB2312" w:hAnsi="仿宋_GB2312" w:eastAsia="仿宋_GB2312" w:cs="Lucida Sans Unicode"/>
          <w:color w:val="auto"/>
          <w:kern w:val="0"/>
          <w:sz w:val="24"/>
          <w:highlight w:val="none"/>
        </w:rPr>
      </w:pPr>
    </w:p>
    <w:p w14:paraId="15745E7C">
      <w:pPr>
        <w:widowControl/>
        <w:wordWrap w:val="0"/>
        <w:snapToGrid w:val="0"/>
        <w:spacing w:line="460" w:lineRule="exact"/>
        <w:ind w:firstLine="2760" w:firstLineChars="1150"/>
        <w:jc w:val="left"/>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14:paraId="68AC0E9E">
      <w:pPr>
        <w:widowControl/>
        <w:wordWrap w:val="0"/>
        <w:spacing w:line="460" w:lineRule="exact"/>
        <w:ind w:left="3780" w:leftChars="1800"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14:paraId="1CD73BB7">
      <w:pPr>
        <w:rPr>
          <w:color w:val="auto"/>
          <w:highlight w:val="none"/>
        </w:rPr>
      </w:pPr>
    </w:p>
    <w:p w14:paraId="1C9EF900">
      <w:pPr>
        <w:rPr>
          <w:color w:val="auto"/>
          <w:highlight w:val="none"/>
        </w:rPr>
      </w:pPr>
      <w:r>
        <w:rPr>
          <w:color w:val="auto"/>
          <w:highlight w:val="none"/>
        </w:rPr>
        <w:br w:type="page"/>
      </w:r>
    </w:p>
    <w:p w14:paraId="4DCD133E">
      <w:pPr>
        <w:pStyle w:val="52"/>
        <w:rPr>
          <w:color w:val="auto"/>
          <w:highlight w:val="none"/>
        </w:rPr>
      </w:pPr>
    </w:p>
    <w:p w14:paraId="0F13CE86">
      <w:pPr>
        <w:widowControl/>
        <w:wordWrap w:val="0"/>
        <w:snapToGrid w:val="0"/>
        <w:spacing w:line="460" w:lineRule="exact"/>
        <w:jc w:val="left"/>
        <w:outlineLvl w:val="0"/>
        <w:rPr>
          <w:rFonts w:hint="eastAsia" w:ascii="Arial" w:hAnsi="Arial" w:eastAsia="黑体" w:cs="Times New Roman"/>
          <w:b/>
          <w:bCs/>
          <w:color w:val="auto"/>
          <w:kern w:val="2"/>
          <w:sz w:val="32"/>
          <w:szCs w:val="32"/>
          <w:highlight w:val="none"/>
          <w:lang w:val="en-US" w:eastAsia="zh-CN" w:bidi="ar-SA"/>
        </w:rPr>
      </w:pPr>
      <w:bookmarkStart w:id="82" w:name="_Toc13976"/>
      <w:bookmarkStart w:id="83" w:name="_Toc12939"/>
      <w:bookmarkStart w:id="84" w:name="_Toc30519"/>
      <w:r>
        <w:rPr>
          <w:rFonts w:hint="eastAsia" w:ascii="Arial" w:hAnsi="Arial" w:eastAsia="黑体" w:cs="Times New Roman"/>
          <w:b/>
          <w:bCs/>
          <w:color w:val="auto"/>
          <w:kern w:val="2"/>
          <w:sz w:val="32"/>
          <w:szCs w:val="32"/>
          <w:highlight w:val="none"/>
          <w:lang w:val="en-US" w:eastAsia="zh-CN" w:bidi="ar-SA"/>
        </w:rPr>
        <w:t>附件8               法定代表人授权书（格式）</w:t>
      </w:r>
      <w:bookmarkEnd w:id="82"/>
      <w:bookmarkEnd w:id="83"/>
      <w:bookmarkEnd w:id="84"/>
    </w:p>
    <w:p w14:paraId="502D5B5D">
      <w:pPr>
        <w:widowControl/>
        <w:tabs>
          <w:tab w:val="left" w:pos="420"/>
          <w:tab w:val="left" w:pos="2160"/>
        </w:tabs>
        <w:wordWrap w:val="0"/>
        <w:spacing w:line="460" w:lineRule="exact"/>
        <w:ind w:firstLine="480" w:firstLineChars="200"/>
        <w:jc w:val="left"/>
        <w:rPr>
          <w:rFonts w:ascii="宋体" w:hAnsi="宋体" w:cs="宋体"/>
          <w:color w:val="auto"/>
          <w:kern w:val="0"/>
          <w:sz w:val="24"/>
          <w:highlight w:val="none"/>
        </w:rPr>
      </w:pPr>
    </w:p>
    <w:p w14:paraId="2CE7A9A2">
      <w:pPr>
        <w:widowControl/>
        <w:wordWrap w:val="0"/>
        <w:snapToGrid w:val="0"/>
        <w:spacing w:line="460" w:lineRule="exact"/>
        <w:jc w:val="left"/>
        <w:rPr>
          <w:rFonts w:ascii="宋体" w:hAnsi="宋体" w:cs="宋体"/>
          <w:b/>
          <w:bCs/>
          <w:color w:val="auto"/>
          <w:kern w:val="0"/>
          <w:sz w:val="24"/>
          <w:highlight w:val="none"/>
        </w:rPr>
      </w:pPr>
      <w:r>
        <w:rPr>
          <w:rFonts w:hint="eastAsia" w:ascii="宋体" w:hAnsi="宋体" w:cs="宋体"/>
          <w:bCs/>
          <w:color w:val="auto"/>
          <w:kern w:val="0"/>
          <w:sz w:val="24"/>
          <w:highlight w:val="none"/>
        </w:rPr>
        <w:t>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名称）：</w:t>
      </w:r>
    </w:p>
    <w:p w14:paraId="0F01EF37">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 xml:space="preserve">名称）的法定代表人，现委托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（姓名）为我方代理人。代理人根据本授权，以我方的名义参加</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项目的投标活动，并代表我方全权办理针对上述项目的投标、开标、评标、签约等具体事务和签署相关文件。</w:t>
      </w:r>
    </w:p>
    <w:p w14:paraId="023C8E77">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14:paraId="659863F5">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如果本次采购活动现场变更采购方式，本授权书有效。</w:t>
      </w:r>
    </w:p>
    <w:p w14:paraId="5732333B">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代理人无转委托权。</w:t>
      </w:r>
    </w:p>
    <w:p w14:paraId="3F3853C1">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委托期限：</w:t>
      </w:r>
    </w:p>
    <w:p w14:paraId="6FE04BEE">
      <w:pPr>
        <w:widowControl/>
        <w:wordWrap w:val="0"/>
        <w:snapToGrid w:val="0"/>
        <w:spacing w:line="460" w:lineRule="exact"/>
        <w:ind w:firstLine="480" w:firstLineChars="200"/>
        <w:jc w:val="left"/>
        <w:rPr>
          <w:rFonts w:ascii="宋体" w:hAnsi="宋体" w:cs="宋体"/>
          <w:color w:val="auto"/>
          <w:kern w:val="0"/>
          <w:sz w:val="24"/>
          <w:highlight w:val="none"/>
        </w:rPr>
      </w:pPr>
    </w:p>
    <w:p w14:paraId="1AC74E94">
      <w:pPr>
        <w:widowControl/>
        <w:wordWrap w:val="0"/>
        <w:snapToGrid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委托代理人签名：             法定代表人签名：</w:t>
      </w:r>
    </w:p>
    <w:p w14:paraId="6302DA7A">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职务：                      职务：</w:t>
      </w:r>
    </w:p>
    <w:tbl>
      <w:tblPr>
        <w:tblStyle w:val="32"/>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14:paraId="2F4E8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14:paraId="2F7B5EA0">
            <w:pPr>
              <w:widowControl/>
              <w:spacing w:line="480" w:lineRule="exact"/>
              <w:jc w:val="left"/>
              <w:rPr>
                <w:rFonts w:ascii="宋体" w:hAnsi="宋体" w:cs="Lucida Sans Unicode"/>
                <w:color w:val="auto"/>
                <w:kern w:val="0"/>
                <w:sz w:val="24"/>
                <w:highlight w:val="none"/>
              </w:rPr>
            </w:pPr>
            <w:r>
              <w:rPr>
                <w:rFonts w:hint="eastAsia" w:ascii="宋体" w:hAnsi="宋体" w:cs="Lucida Sans Unicode"/>
                <w:bCs/>
                <w:color w:val="auto"/>
                <w:kern w:val="0"/>
                <w:sz w:val="24"/>
                <w:highlight w:val="none"/>
              </w:rPr>
              <w:t>此处请粘贴</w:t>
            </w:r>
            <w:r>
              <w:rPr>
                <w:rFonts w:hint="eastAsia" w:ascii="宋体" w:hAnsi="宋体" w:cs="宋体"/>
                <w:color w:val="auto"/>
                <w:kern w:val="0"/>
                <w:sz w:val="24"/>
                <w:highlight w:val="none"/>
              </w:rPr>
              <w:t>委托代理人</w:t>
            </w:r>
            <w:r>
              <w:rPr>
                <w:rFonts w:hint="eastAsia" w:ascii="宋体" w:hAnsi="宋体" w:cs="Lucida Sans Unicode"/>
                <w:bCs/>
                <w:color w:val="auto"/>
                <w:kern w:val="0"/>
                <w:sz w:val="24"/>
                <w:highlight w:val="none"/>
              </w:rPr>
              <w:t>身份证复印件</w:t>
            </w:r>
          </w:p>
        </w:tc>
      </w:tr>
    </w:tbl>
    <w:p w14:paraId="1391CB1A">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委托代理人身份证号码：</w:t>
      </w:r>
    </w:p>
    <w:p w14:paraId="1869FC47">
      <w:pPr>
        <w:widowControl/>
        <w:wordWrap w:val="0"/>
        <w:spacing w:line="460" w:lineRule="exact"/>
        <w:ind w:firstLine="4800" w:firstLineChars="2000"/>
        <w:jc w:val="left"/>
        <w:rPr>
          <w:rFonts w:ascii="仿宋_GB2312" w:hAnsi="Lucida Sans Unicode" w:eastAsia="仿宋_GB2312" w:cs="Lucida Sans Unicode"/>
          <w:color w:val="auto"/>
          <w:kern w:val="0"/>
          <w:sz w:val="24"/>
          <w:highlight w:val="none"/>
        </w:rPr>
      </w:pPr>
    </w:p>
    <w:p w14:paraId="4C6A036A">
      <w:pPr>
        <w:widowControl/>
        <w:wordWrap w:val="0"/>
        <w:spacing w:line="360" w:lineRule="auto"/>
        <w:jc w:val="center"/>
        <w:rPr>
          <w:rFonts w:ascii="仿宋_GB2312" w:hAnsi="Lucida Sans Unicode" w:eastAsia="仿宋_GB2312" w:cs="Lucida Sans Unicode"/>
          <w:color w:val="auto"/>
          <w:kern w:val="0"/>
          <w:sz w:val="24"/>
          <w:highlight w:val="none"/>
        </w:rPr>
      </w:pPr>
    </w:p>
    <w:p w14:paraId="034EB227">
      <w:pPr>
        <w:widowControl/>
        <w:wordWrap w:val="0"/>
        <w:spacing w:line="360" w:lineRule="auto"/>
        <w:jc w:val="right"/>
        <w:rPr>
          <w:rFonts w:hint="eastAsia" w:ascii="宋体" w:hAnsi="宋体" w:cs="宋体"/>
          <w:color w:val="auto"/>
          <w:kern w:val="0"/>
          <w:sz w:val="24"/>
          <w:highlight w:val="none"/>
        </w:rPr>
      </w:pPr>
    </w:p>
    <w:p w14:paraId="37C6012C">
      <w:pPr>
        <w:widowControl/>
        <w:wordWrap w:val="0"/>
        <w:spacing w:line="360" w:lineRule="auto"/>
        <w:jc w:val="right"/>
        <w:rPr>
          <w:rFonts w:hint="eastAsia" w:ascii="宋体" w:hAnsi="宋体" w:cs="宋体"/>
          <w:color w:val="auto"/>
          <w:kern w:val="0"/>
          <w:sz w:val="24"/>
          <w:highlight w:val="none"/>
        </w:rPr>
      </w:pPr>
    </w:p>
    <w:p w14:paraId="5A9C7BF1">
      <w:pPr>
        <w:widowControl/>
        <w:wordWrap w:val="0"/>
        <w:spacing w:line="360" w:lineRule="auto"/>
        <w:jc w:val="right"/>
        <w:rPr>
          <w:rFonts w:hint="eastAsia" w:ascii="宋体" w:hAnsi="宋体" w:cs="宋体"/>
          <w:color w:val="auto"/>
          <w:kern w:val="0"/>
          <w:sz w:val="24"/>
          <w:highlight w:val="none"/>
        </w:rPr>
      </w:pPr>
    </w:p>
    <w:p w14:paraId="27AE2CC3">
      <w:pPr>
        <w:widowControl/>
        <w:wordWrap w:val="0"/>
        <w:spacing w:line="360" w:lineRule="auto"/>
        <w:jc w:val="right"/>
        <w:rPr>
          <w:rFonts w:hint="eastAsia" w:ascii="宋体" w:hAnsi="宋体" w:cs="宋体"/>
          <w:color w:val="auto"/>
          <w:kern w:val="0"/>
          <w:sz w:val="24"/>
          <w:highlight w:val="none"/>
        </w:rPr>
      </w:pPr>
    </w:p>
    <w:p w14:paraId="2BF07960">
      <w:pPr>
        <w:widowControl/>
        <w:wordWrap w:val="0"/>
        <w:spacing w:line="360" w:lineRule="auto"/>
        <w:jc w:val="right"/>
        <w:rPr>
          <w:rFonts w:hint="eastAsia" w:ascii="宋体" w:hAnsi="宋体" w:cs="宋体"/>
          <w:color w:val="auto"/>
          <w:kern w:val="0"/>
          <w:sz w:val="24"/>
          <w:highlight w:val="none"/>
        </w:rPr>
      </w:pPr>
    </w:p>
    <w:p w14:paraId="47A6D897">
      <w:pPr>
        <w:widowControl/>
        <w:wordWrap/>
        <w:spacing w:line="360" w:lineRule="auto"/>
        <w:jc w:val="center"/>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14:paraId="3834459A">
      <w:pPr>
        <w:widowControl/>
        <w:wordWrap w:val="0"/>
        <w:spacing w:line="460" w:lineRule="exact"/>
        <w:ind w:firstLine="3840" w:firstLineChars="1600"/>
        <w:jc w:val="left"/>
        <w:rPr>
          <w:rFonts w:ascii="宋体" w:hAnsi="宋体" w:cs="宋体"/>
          <w:b/>
          <w:color w:val="auto"/>
          <w:kern w:val="0"/>
          <w:sz w:val="32"/>
          <w:szCs w:val="32"/>
          <w:highlight w:val="none"/>
        </w:rPr>
      </w:pPr>
      <w:r>
        <w:rPr>
          <w:rFonts w:hint="eastAsia" w:ascii="宋体" w:hAnsi="宋体" w:cs="宋体"/>
          <w:color w:val="auto"/>
          <w:kern w:val="0"/>
          <w:sz w:val="24"/>
          <w:highlight w:val="none"/>
        </w:rPr>
        <w:t>年    月    日</w:t>
      </w:r>
    </w:p>
    <w:p w14:paraId="17E06F7B">
      <w:pPr>
        <w:widowControl/>
        <w:spacing w:line="360" w:lineRule="auto"/>
        <w:ind w:firstLine="7228" w:firstLineChars="2250"/>
        <w:jc w:val="left"/>
        <w:rPr>
          <w:rFonts w:ascii="宋体" w:hAnsi="宋体" w:cs="宋体"/>
          <w:b/>
          <w:color w:val="auto"/>
          <w:kern w:val="0"/>
          <w:sz w:val="32"/>
          <w:szCs w:val="32"/>
          <w:highlight w:val="none"/>
        </w:rPr>
      </w:pPr>
    </w:p>
    <w:p w14:paraId="37D5DEB6">
      <w:pPr>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14:paraId="3E360F85">
      <w:pPr>
        <w:widowControl/>
        <w:snapToGrid w:val="0"/>
        <w:spacing w:before="156" w:after="156" w:line="360" w:lineRule="auto"/>
        <w:jc w:val="left"/>
        <w:rPr>
          <w:rFonts w:ascii="宋体" w:hAnsi="宋体" w:cs="宋体"/>
          <w:b/>
          <w:color w:val="auto"/>
          <w:kern w:val="0"/>
          <w:sz w:val="24"/>
          <w:highlight w:val="none"/>
        </w:rPr>
      </w:pPr>
    </w:p>
    <w:p w14:paraId="26D7698C">
      <w:pPr>
        <w:widowControl/>
        <w:wordWrap w:val="0"/>
        <w:snapToGrid w:val="0"/>
        <w:spacing w:line="460" w:lineRule="exact"/>
        <w:jc w:val="left"/>
        <w:outlineLvl w:val="0"/>
        <w:rPr>
          <w:rFonts w:hint="eastAsia" w:ascii="Arial" w:hAnsi="Arial" w:eastAsia="黑体" w:cs="Times New Roman"/>
          <w:b/>
          <w:bCs/>
          <w:color w:val="auto"/>
          <w:kern w:val="2"/>
          <w:sz w:val="32"/>
          <w:szCs w:val="32"/>
          <w:highlight w:val="none"/>
          <w:lang w:val="en-US" w:eastAsia="zh-CN" w:bidi="ar-SA"/>
        </w:rPr>
      </w:pPr>
      <w:bookmarkStart w:id="85" w:name="_Toc24693"/>
      <w:bookmarkStart w:id="86" w:name="_Toc3342"/>
      <w:bookmarkStart w:id="87" w:name="_Toc18105"/>
      <w:r>
        <w:rPr>
          <w:rFonts w:hint="eastAsia" w:ascii="Arial" w:hAnsi="Arial" w:eastAsia="黑体" w:cs="Times New Roman"/>
          <w:b/>
          <w:bCs/>
          <w:color w:val="auto"/>
          <w:kern w:val="2"/>
          <w:sz w:val="32"/>
          <w:szCs w:val="32"/>
          <w:highlight w:val="none"/>
          <w:lang w:val="en-US" w:eastAsia="zh-CN" w:bidi="ar-SA"/>
        </w:rPr>
        <w:t>附件9               证明文件</w:t>
      </w:r>
      <w:bookmarkEnd w:id="85"/>
      <w:bookmarkEnd w:id="86"/>
      <w:bookmarkEnd w:id="87"/>
    </w:p>
    <w:p w14:paraId="63382406">
      <w:pPr>
        <w:pStyle w:val="9"/>
        <w:spacing w:beforeAutospacing="0" w:afterAutospacing="0" w:line="480" w:lineRule="auto"/>
        <w:ind w:firstLine="470" w:firstLineChars="224"/>
        <w:jc w:val="both"/>
        <w:rPr>
          <w:rFonts w:hint="eastAsia"/>
          <w:bCs/>
          <w:color w:val="auto"/>
          <w:sz w:val="21"/>
          <w:szCs w:val="21"/>
          <w:highlight w:val="none"/>
        </w:rPr>
      </w:pPr>
      <w:r>
        <w:rPr>
          <w:rFonts w:hint="eastAsia"/>
          <w:bCs/>
          <w:color w:val="auto"/>
          <w:sz w:val="21"/>
          <w:szCs w:val="21"/>
          <w:highlight w:val="none"/>
        </w:rPr>
        <w:t>9.1</w:t>
      </w:r>
      <w:r>
        <w:rPr>
          <w:rFonts w:hint="eastAsia"/>
          <w:bCs/>
          <w:color w:val="auto"/>
          <w:sz w:val="21"/>
          <w:szCs w:val="21"/>
          <w:highlight w:val="none"/>
          <w:lang w:val="en-US" w:eastAsia="zh-CN"/>
        </w:rPr>
        <w:t xml:space="preserve"> </w:t>
      </w:r>
      <w:r>
        <w:rPr>
          <w:rFonts w:hint="eastAsia"/>
          <w:bCs/>
          <w:color w:val="auto"/>
          <w:sz w:val="21"/>
          <w:szCs w:val="21"/>
          <w:highlight w:val="none"/>
        </w:rPr>
        <w:t>资格审查资料</w:t>
      </w:r>
    </w:p>
    <w:p w14:paraId="58F5F7E0">
      <w:pPr>
        <w:pStyle w:val="9"/>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lang w:val="en-US" w:eastAsia="zh-CN"/>
        </w:rPr>
        <w:t>9.2产品技术参数支持资料</w:t>
      </w:r>
    </w:p>
    <w:p w14:paraId="5D5CE033">
      <w:pPr>
        <w:pStyle w:val="9"/>
        <w:spacing w:beforeAutospacing="0" w:afterAutospacing="0" w:line="480" w:lineRule="auto"/>
        <w:ind w:firstLine="470" w:firstLineChars="224"/>
        <w:jc w:val="both"/>
        <w:rPr>
          <w:rFonts w:hint="eastAsia"/>
          <w:bCs/>
          <w:color w:val="auto"/>
          <w:sz w:val="21"/>
          <w:szCs w:val="21"/>
          <w:highlight w:val="none"/>
          <w:lang w:val="en-US" w:eastAsia="zh-CN"/>
        </w:rPr>
      </w:pPr>
      <w:r>
        <w:rPr>
          <w:rFonts w:hint="eastAsia"/>
          <w:bCs/>
          <w:color w:val="auto"/>
          <w:sz w:val="21"/>
          <w:szCs w:val="21"/>
          <w:highlight w:val="none"/>
        </w:rPr>
        <w:t>9.3</w:t>
      </w:r>
      <w:r>
        <w:rPr>
          <w:rFonts w:hint="eastAsia"/>
          <w:bCs/>
          <w:color w:val="auto"/>
          <w:sz w:val="21"/>
          <w:szCs w:val="21"/>
          <w:highlight w:val="none"/>
          <w:lang w:val="en-US" w:eastAsia="zh-CN"/>
        </w:rPr>
        <w:t xml:space="preserve"> 评分标准中需提供的证明材料</w:t>
      </w:r>
    </w:p>
    <w:p w14:paraId="446FF9D5">
      <w:pPr>
        <w:pStyle w:val="9"/>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w:t>
      </w:r>
      <w:r>
        <w:rPr>
          <w:rFonts w:hint="eastAsia"/>
          <w:bCs/>
          <w:color w:val="auto"/>
          <w:sz w:val="21"/>
          <w:szCs w:val="21"/>
          <w:highlight w:val="none"/>
          <w:lang w:val="en-US" w:eastAsia="zh-CN"/>
        </w:rPr>
        <w:t>4 供应商认为其他需要提供的证明材料</w:t>
      </w:r>
      <w:r>
        <w:rPr>
          <w:rFonts w:hint="eastAsia"/>
          <w:bCs/>
          <w:color w:val="auto"/>
          <w:sz w:val="21"/>
          <w:szCs w:val="21"/>
          <w:highlight w:val="none"/>
        </w:rPr>
        <w:t>。</w:t>
      </w:r>
    </w:p>
    <w:p w14:paraId="76EDCE6E">
      <w:pPr>
        <w:pStyle w:val="9"/>
        <w:spacing w:beforeAutospacing="0" w:afterAutospacing="0" w:line="480" w:lineRule="auto"/>
        <w:ind w:firstLine="540" w:firstLineChars="224"/>
        <w:jc w:val="both"/>
        <w:rPr>
          <w:b/>
          <w:bCs/>
          <w:color w:val="auto"/>
          <w:highlight w:val="none"/>
        </w:rPr>
      </w:pPr>
      <w:bookmarkStart w:id="88" w:name="_Toc17966"/>
    </w:p>
    <w:p w14:paraId="7EACAB6A">
      <w:pPr>
        <w:rPr>
          <w:b/>
          <w:bCs/>
          <w:color w:val="auto"/>
          <w:highlight w:val="none"/>
        </w:rPr>
      </w:pPr>
      <w:r>
        <w:rPr>
          <w:b/>
          <w:bCs/>
          <w:color w:val="auto"/>
          <w:highlight w:val="none"/>
        </w:rPr>
        <w:br w:type="page"/>
      </w:r>
    </w:p>
    <w:p w14:paraId="57A3152C">
      <w:pPr>
        <w:pStyle w:val="9"/>
        <w:spacing w:beforeAutospacing="0" w:afterAutospacing="0" w:line="480" w:lineRule="auto"/>
        <w:ind w:firstLine="540" w:firstLineChars="224"/>
        <w:jc w:val="both"/>
        <w:rPr>
          <w:b/>
          <w:bCs/>
          <w:color w:val="auto"/>
          <w:highlight w:val="none"/>
        </w:rPr>
      </w:pPr>
    </w:p>
    <w:p w14:paraId="2B5FFE02">
      <w:pPr>
        <w:widowControl/>
        <w:wordWrap w:val="0"/>
        <w:snapToGrid w:val="0"/>
        <w:spacing w:line="460" w:lineRule="exact"/>
        <w:jc w:val="left"/>
        <w:outlineLvl w:val="0"/>
        <w:rPr>
          <w:rFonts w:hint="eastAsia" w:ascii="Arial" w:hAnsi="Arial" w:eastAsia="黑体" w:cs="Times New Roman"/>
          <w:b/>
          <w:bCs/>
          <w:color w:val="auto"/>
          <w:kern w:val="2"/>
          <w:sz w:val="32"/>
          <w:szCs w:val="32"/>
          <w:highlight w:val="none"/>
          <w:lang w:val="en-US" w:eastAsia="zh-CN" w:bidi="ar-SA"/>
        </w:rPr>
      </w:pPr>
      <w:bookmarkStart w:id="89" w:name="_Toc12888"/>
      <w:bookmarkStart w:id="90" w:name="_Toc13726"/>
      <w:bookmarkStart w:id="91" w:name="_Toc16083"/>
      <w:r>
        <w:rPr>
          <w:rFonts w:hint="eastAsia" w:ascii="Arial" w:hAnsi="Arial" w:eastAsia="黑体" w:cs="Times New Roman"/>
          <w:b/>
          <w:bCs/>
          <w:color w:val="auto"/>
          <w:kern w:val="2"/>
          <w:sz w:val="32"/>
          <w:szCs w:val="32"/>
          <w:highlight w:val="none"/>
          <w:lang w:val="en-US" w:eastAsia="zh-CN" w:bidi="ar-SA"/>
        </w:rPr>
        <w:t xml:space="preserve">附件10        </w:t>
      </w:r>
      <w:bookmarkEnd w:id="88"/>
      <w:r>
        <w:rPr>
          <w:rFonts w:hint="eastAsia" w:ascii="Arial" w:hAnsi="Arial" w:eastAsia="黑体" w:cs="Times New Roman"/>
          <w:b/>
          <w:bCs/>
          <w:color w:val="auto"/>
          <w:kern w:val="2"/>
          <w:sz w:val="32"/>
          <w:szCs w:val="32"/>
          <w:highlight w:val="none"/>
          <w:lang w:val="en-US" w:eastAsia="zh-CN" w:bidi="ar-SA"/>
        </w:rPr>
        <w:t>供 应 商 承 诺 书 （格式）</w:t>
      </w:r>
      <w:bookmarkEnd w:id="89"/>
      <w:bookmarkEnd w:id="90"/>
      <w:bookmarkEnd w:id="91"/>
    </w:p>
    <w:p w14:paraId="76DAB348">
      <w:pPr>
        <w:bidi w:val="0"/>
      </w:pPr>
    </w:p>
    <w:p w14:paraId="0584B07C">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我院（以下简称甲方）组织的本次采购，在遵守《招标投标法》、《政府采购法》、《合同法》、《反不正当竞争法》和《关于推进招投标监督领域诚信建设的意见》等法律法规的基础上，要求贵方（以下简称乙方）做出如下承诺：</w:t>
      </w:r>
    </w:p>
    <w:p w14:paraId="793FB781">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1、遵循公开、公平、公正和诚实信用的原则自愿参加，所提供的一切材料真实、有效、合法。</w:t>
      </w:r>
    </w:p>
    <w:p w14:paraId="73CF163D">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2、遵守甲方采购纪律，诚实守信地为甲方提供安全可靠的产品、服务及相关技术，保证质量并主动做好售后服务工作。</w:t>
      </w:r>
    </w:p>
    <w:p w14:paraId="61D2E68E">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3、杜绝利用提供财物或给予其他不正当利益谋取中标的不良行为。</w:t>
      </w:r>
    </w:p>
    <w:p w14:paraId="19E7DFDC">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4、不发生其他任何可能影响甲方工作人员公正执行公务或者职务廉洁的行为。</w:t>
      </w:r>
    </w:p>
    <w:p w14:paraId="7372EDE4">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5、不参与串标、围标或其他不正当竞争行为；杜绝以虚报资质、业绩或其他弄虚作假等方式骗取中标。</w:t>
      </w:r>
    </w:p>
    <w:p w14:paraId="791BA2F1">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6、响应时，杜绝擅自修改采购文件或技术标准（包括差异表）技术配置的行为。</w:t>
      </w:r>
    </w:p>
    <w:p w14:paraId="62E9B054">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7、严格按照采购、投标文件要求签订合同，不违反法律无故拒签合同，不签订背离合同（或技术协议书）实质性内容的协议。</w:t>
      </w:r>
    </w:p>
    <w:p w14:paraId="2D8653A1">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p>
    <w:p w14:paraId="212849F1">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r>
        <w:rPr>
          <w:rFonts w:hint="eastAsia" w:ascii="宋体" w:hAnsi="宋体" w:cs="宋体"/>
          <w:sz w:val="24"/>
          <w:szCs w:val="24"/>
          <w:lang w:eastAsia="zh-CN"/>
        </w:rPr>
        <w:t>供应商</w:t>
      </w:r>
      <w:r>
        <w:rPr>
          <w:rFonts w:hint="eastAsia" w:ascii="宋体" w:hAnsi="宋体" w:eastAsia="宋体" w:cs="宋体"/>
          <w:sz w:val="24"/>
          <w:szCs w:val="24"/>
        </w:rPr>
        <w:t>（</w:t>
      </w:r>
      <w:r>
        <w:rPr>
          <w:rFonts w:hint="eastAsia" w:ascii="宋体" w:hAnsi="宋体" w:eastAsia="宋体" w:cs="宋体"/>
          <w:sz w:val="24"/>
          <w:szCs w:val="24"/>
          <w:lang w:val="en-US" w:eastAsia="zh-CN"/>
        </w:rPr>
        <w:t>公司名称</w:t>
      </w:r>
      <w:r>
        <w:rPr>
          <w:rFonts w:hint="eastAsia" w:ascii="宋体" w:hAnsi="宋体" w:eastAsia="宋体" w:cs="宋体"/>
          <w:sz w:val="24"/>
          <w:szCs w:val="24"/>
        </w:rPr>
        <w:t xml:space="preserve">）：               </w:t>
      </w:r>
    </w:p>
    <w:p w14:paraId="4861F131">
      <w:pPr>
        <w:keepNext w:val="0"/>
        <w:keepLines w:val="0"/>
        <w:pageBreakBefore w:val="0"/>
        <w:widowControl w:val="0"/>
        <w:kinsoku/>
        <w:wordWrap/>
        <w:overflowPunct/>
        <w:topLinePunct w:val="0"/>
        <w:autoSpaceDE/>
        <w:autoSpaceDN/>
        <w:bidi w:val="0"/>
        <w:adjustRightInd/>
        <w:snapToGrid w:val="0"/>
        <w:spacing w:line="480" w:lineRule="auto"/>
        <w:textAlignment w:val="auto"/>
        <w:rPr>
          <w:sz w:val="28"/>
          <w:szCs w:val="28"/>
        </w:rPr>
      </w:pPr>
      <w:r>
        <w:rPr>
          <w:rFonts w:hint="eastAsia" w:ascii="宋体" w:hAnsi="宋体" w:eastAsia="宋体" w:cs="宋体"/>
          <w:sz w:val="24"/>
          <w:szCs w:val="24"/>
        </w:rPr>
        <w:t>法定代表人或委托人（签字）：                   年   月   日</w:t>
      </w:r>
    </w:p>
    <w:p w14:paraId="19CDB46E">
      <w:pPr>
        <w:widowControl/>
        <w:spacing w:line="360" w:lineRule="auto"/>
        <w:ind w:firstLine="4305" w:firstLineChars="2050"/>
        <w:jc w:val="left"/>
        <w:rPr>
          <w:rFonts w:ascii="宋体" w:hAnsi="宋体" w:cs="宋体"/>
          <w:color w:val="auto"/>
          <w:kern w:val="0"/>
          <w:szCs w:val="21"/>
          <w:highlight w:val="none"/>
        </w:rPr>
      </w:pPr>
    </w:p>
    <w:p w14:paraId="0A323F7E">
      <w:pPr>
        <w:pStyle w:val="30"/>
        <w:rPr>
          <w:rFonts w:ascii="宋体" w:hAnsi="宋体" w:cs="宋体"/>
          <w:color w:val="auto"/>
          <w:kern w:val="0"/>
          <w:szCs w:val="21"/>
          <w:highlight w:val="none"/>
        </w:rPr>
      </w:pPr>
    </w:p>
    <w:p w14:paraId="6664705C">
      <w:pPr>
        <w:pStyle w:val="31"/>
        <w:rPr>
          <w:rFonts w:ascii="宋体" w:hAnsi="宋体" w:cs="宋体"/>
          <w:color w:val="auto"/>
          <w:kern w:val="0"/>
          <w:szCs w:val="21"/>
          <w:highlight w:val="none"/>
        </w:rPr>
      </w:pPr>
    </w:p>
    <w:p w14:paraId="30F55226">
      <w:pPr>
        <w:widowControl/>
        <w:wordWrap w:val="0"/>
        <w:snapToGrid w:val="0"/>
        <w:spacing w:line="460" w:lineRule="exact"/>
        <w:jc w:val="left"/>
        <w:outlineLvl w:val="0"/>
        <w:rPr>
          <w:rFonts w:hint="eastAsia" w:ascii="Arial" w:hAnsi="Arial" w:eastAsia="黑体" w:cs="Times New Roman"/>
          <w:b/>
          <w:bCs/>
          <w:color w:val="auto"/>
          <w:kern w:val="2"/>
          <w:sz w:val="32"/>
          <w:szCs w:val="32"/>
          <w:highlight w:val="none"/>
          <w:lang w:val="en-US" w:eastAsia="zh-CN" w:bidi="ar-SA"/>
        </w:rPr>
      </w:pPr>
      <w:r>
        <w:rPr>
          <w:rFonts w:hint="eastAsia" w:ascii="Arial" w:hAnsi="Arial" w:eastAsia="黑体" w:cs="Times New Roman"/>
          <w:b/>
          <w:bCs/>
          <w:color w:val="auto"/>
          <w:kern w:val="2"/>
          <w:sz w:val="32"/>
          <w:szCs w:val="32"/>
          <w:highlight w:val="none"/>
          <w:lang w:val="en-US" w:eastAsia="zh-CN" w:bidi="ar-SA"/>
        </w:rPr>
        <w:t>附件11     供应商信用承诺函（格式）</w:t>
      </w:r>
    </w:p>
    <w:p w14:paraId="064C528D">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p>
    <w:p w14:paraId="0F33E178">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致（采购人或政府采购代理机构）：</w:t>
      </w:r>
    </w:p>
    <w:p w14:paraId="646EE306">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单位名称（自然人姓名）：</w:t>
      </w:r>
    </w:p>
    <w:p w14:paraId="14F05989">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统一社会信用代码（身份证号码）：</w:t>
      </w:r>
    </w:p>
    <w:p w14:paraId="0B7B6A0F">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法定代表人（负责人）：</w:t>
      </w:r>
    </w:p>
    <w:p w14:paraId="6D3742F1">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联系地址和电话：</w:t>
      </w:r>
    </w:p>
    <w:p w14:paraId="2CEFFF02">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我单位（本人）自愿参加本次政府采购活动，严格遵守《中华人民共和国政府采购法》及相关法律法规，坚守公开、公平、公正和诚实信用的原则，依法诚信经营，无条件遵守本次政府采购活动的各项规定。我单位（本人）郑重承诺，我单位（本人）符合《中华人民共和国政府采购法》第二十二条规定的条件：</w:t>
      </w:r>
    </w:p>
    <w:p w14:paraId="6546378F">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（一）具有独立承担民事责任的能力；</w:t>
      </w:r>
    </w:p>
    <w:p w14:paraId="33671D48">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（二）具有良好的商业信誉和健全的财务会计制度；</w:t>
      </w:r>
    </w:p>
    <w:p w14:paraId="149CADF5">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（三）具有履行合同所必需的设备和专业技术能力；</w:t>
      </w:r>
    </w:p>
    <w:p w14:paraId="5B3BBA43">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sz w:val="21"/>
          <w:szCs w:val="21"/>
        </w:rPr>
      </w:pPr>
      <w:r>
        <w:rPr>
          <w:rFonts w:hint="eastAsia" w:ascii="宋体" w:hAnsi="宋体" w:eastAsia="宋体" w:cs="宋体"/>
          <w:color w:val="auto"/>
          <w:sz w:val="21"/>
          <w:szCs w:val="21"/>
          <w:lang w:val="en-US" w:eastAsia="zh-CN"/>
        </w:rPr>
        <w:t>（四）有依法缴纳税收和社会保障资金的良好</w:t>
      </w:r>
      <w:r>
        <w:rPr>
          <w:rFonts w:hint="eastAsia" w:ascii="宋体" w:hAnsi="宋体" w:eastAsia="宋体" w:cs="宋体"/>
          <w:sz w:val="21"/>
          <w:szCs w:val="21"/>
          <w:lang w:val="en-US" w:eastAsia="zh-CN"/>
        </w:rPr>
        <w:t>记录；</w:t>
      </w:r>
    </w:p>
    <w:p w14:paraId="1394284D">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（五）参加政府采购活动前三年内，在经营活动中没有重大违法记录；</w:t>
      </w:r>
    </w:p>
    <w:p w14:paraId="58731B6A">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（六）未被列入严重失信主体名单、失信被执行人、税收违法黑名单、政府采购严重违法失信行为记录名单，未曾作出虚假承诺；</w:t>
      </w:r>
    </w:p>
    <w:p w14:paraId="20CD4C06">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（七）符合法律、行政法规规定的其他条件。</w:t>
      </w:r>
    </w:p>
    <w:p w14:paraId="1E91D18F">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我单位（本人）保证上述承诺事项的真实性，如有弄虚作假或其他违法违规行为，愿意承担一切法律责任，并承担因此所造成的一切损失。</w:t>
      </w:r>
    </w:p>
    <w:p w14:paraId="2961EFDA">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p>
    <w:p w14:paraId="0DB906A4">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供应商名称（盖章）：</w:t>
      </w:r>
    </w:p>
    <w:p w14:paraId="0357617D">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法定代表人、负责人、自然人或授权代表(签字)：</w:t>
      </w:r>
    </w:p>
    <w:p w14:paraId="12C0D72F">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日期：       年         月          日</w:t>
      </w:r>
    </w:p>
    <w:p w14:paraId="4C2F860A">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p>
    <w:p w14:paraId="455ADA1D">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p>
    <w:p w14:paraId="620D60E8">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注：1.供应商须在投标（响应性）文件中按此模板提供承诺函，未提供视为未实质性响应招标文件要求，按无效投标（响应）处理。</w:t>
      </w:r>
    </w:p>
    <w:p w14:paraId="4220BE90">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2.供应商的法定代表人或者授权代表的签字或盖章应真实、有效，如由授权代表签字或盖章的，应提供“法定代表人授权书”。</w:t>
      </w:r>
    </w:p>
    <w:p w14:paraId="5EE5D866">
      <w:pPr>
        <w:pStyle w:val="9"/>
        <w:spacing w:beforeAutospacing="0" w:afterAutospacing="0" w:line="460" w:lineRule="atLeast"/>
        <w:jc w:val="both"/>
        <w:rPr>
          <w:b/>
          <w:bCs/>
          <w:color w:val="auto"/>
          <w:sz w:val="28"/>
          <w:szCs w:val="28"/>
          <w:highlight w:val="none"/>
        </w:rPr>
      </w:pPr>
    </w:p>
    <w:sectPr>
      <w:footerReference r:id="rId5" w:type="default"/>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Lucida Sans Unicode">
    <w:panose1 w:val="020B0602030504020204"/>
    <w:charset w:val="00"/>
    <w:family w:val="swiss"/>
    <w:pitch w:val="default"/>
    <w:sig w:usb0="80001AFF" w:usb1="0000396B" w:usb2="00000000" w:usb3="00000000" w:csb0="200000BF" w:csb1="D7F70000"/>
  </w:font>
  <w:font w:name="新宋体">
    <w:panose1 w:val="02010609030101010101"/>
    <w:charset w:val="86"/>
    <w:family w:val="modern"/>
    <w:pitch w:val="default"/>
    <w:sig w:usb0="0000020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583789">
    <w:pPr>
      <w:pStyle w:val="21"/>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71A5814C">
                          <w:pPr>
                            <w:pStyle w:val="2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14:paraId="71A5814C">
                    <w:pPr>
                      <w:pStyle w:val="2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D136C3">
    <w:pPr>
      <w:pStyle w:val="21"/>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14:paraId="73CCE8FD">
                          <w:pPr>
                            <w:pStyle w:val="21"/>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14:paraId="73CCE8FD">
                    <w:pPr>
                      <w:pStyle w:val="21"/>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14:paraId="2B8517A2">
    <w:pPr>
      <w:pStyle w:val="2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EF5359">
    <w:pPr>
      <w:pStyle w:val="23"/>
      <w:jc w:val="center"/>
      <w:rPr>
        <w:rFonts w:hint="eastAsia"/>
      </w:rPr>
    </w:pPr>
    <w:r>
      <w:rPr>
        <w:rFonts w:hint="eastAsia" w:ascii="宋体" w:hAnsi="宋体" w:cs="宋体"/>
        <w:color w:val="auto"/>
        <w:szCs w:val="21"/>
        <w:highlight w:val="none"/>
        <w:shd w:val="clear" w:color="auto" w:fill="FFFFFF"/>
        <w:lang w:val="en-US" w:eastAsia="zh-CN"/>
      </w:rPr>
      <w:t>驻马店市中心医院妇儿院区新生儿科等科室UPS电源更换电池组项目</w:t>
    </w:r>
    <w:r>
      <w:rPr>
        <w:rFonts w:hint="eastAsia" w:ascii="宋体" w:hAnsi="宋体" w:cs="宋体"/>
        <w:color w:val="auto"/>
        <w:szCs w:val="21"/>
        <w:highlight w:val="none"/>
        <w:u w:val="none"/>
        <w:shd w:val="clear" w:color="auto" w:fill="FFFFFF"/>
        <w:lang w:val="en-US" w:eastAsia="zh-CN"/>
      </w:rPr>
      <w:t>采购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A954FB"/>
    <w:multiLevelType w:val="singleLevel"/>
    <w:tmpl w:val="E8A954FB"/>
    <w:lvl w:ilvl="0" w:tentative="0">
      <w:start w:val="1"/>
      <w:numFmt w:val="decimal"/>
      <w:suff w:val="nothing"/>
      <w:lvlText w:val="%1、"/>
      <w:lvlJc w:val="left"/>
    </w:lvl>
  </w:abstractNum>
  <w:abstractNum w:abstractNumId="1">
    <w:nsid w:val="59B6410A"/>
    <w:multiLevelType w:val="singleLevel"/>
    <w:tmpl w:val="59B6410A"/>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wMjRmYTY4OTJhZjc1NTA1MGQwNDc0NzZhNTkwMmU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5888"/>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1ADF"/>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28E"/>
    <w:rsid w:val="00FF3BCD"/>
    <w:rsid w:val="00FF5B28"/>
    <w:rsid w:val="00FF7C18"/>
    <w:rsid w:val="01076050"/>
    <w:rsid w:val="010C3DC8"/>
    <w:rsid w:val="011E110B"/>
    <w:rsid w:val="01525212"/>
    <w:rsid w:val="01564054"/>
    <w:rsid w:val="015C0A67"/>
    <w:rsid w:val="017E6D95"/>
    <w:rsid w:val="01D715BE"/>
    <w:rsid w:val="01EB45BC"/>
    <w:rsid w:val="01F9035B"/>
    <w:rsid w:val="01FA63A5"/>
    <w:rsid w:val="02011C7D"/>
    <w:rsid w:val="02035523"/>
    <w:rsid w:val="021C6E40"/>
    <w:rsid w:val="02222FF2"/>
    <w:rsid w:val="02384FF4"/>
    <w:rsid w:val="023F67A9"/>
    <w:rsid w:val="0247575A"/>
    <w:rsid w:val="025235B1"/>
    <w:rsid w:val="0262674D"/>
    <w:rsid w:val="02747B01"/>
    <w:rsid w:val="02890D36"/>
    <w:rsid w:val="02D92EF7"/>
    <w:rsid w:val="02DA4665"/>
    <w:rsid w:val="02F40325"/>
    <w:rsid w:val="02FA082F"/>
    <w:rsid w:val="031126C4"/>
    <w:rsid w:val="03475E56"/>
    <w:rsid w:val="035E4919"/>
    <w:rsid w:val="036A009A"/>
    <w:rsid w:val="03844805"/>
    <w:rsid w:val="03845791"/>
    <w:rsid w:val="03A011E9"/>
    <w:rsid w:val="03AE7F27"/>
    <w:rsid w:val="03BD2BCD"/>
    <w:rsid w:val="03CC058D"/>
    <w:rsid w:val="03E017D2"/>
    <w:rsid w:val="03F447E2"/>
    <w:rsid w:val="03F77068"/>
    <w:rsid w:val="03FB660C"/>
    <w:rsid w:val="04416C20"/>
    <w:rsid w:val="047968B1"/>
    <w:rsid w:val="04870542"/>
    <w:rsid w:val="04B30F7A"/>
    <w:rsid w:val="050E236F"/>
    <w:rsid w:val="054C0111"/>
    <w:rsid w:val="05545DD3"/>
    <w:rsid w:val="056E2AD6"/>
    <w:rsid w:val="05806815"/>
    <w:rsid w:val="058251D3"/>
    <w:rsid w:val="058C28F1"/>
    <w:rsid w:val="05945CCE"/>
    <w:rsid w:val="059D05A4"/>
    <w:rsid w:val="059D5E17"/>
    <w:rsid w:val="05AB0A28"/>
    <w:rsid w:val="05AB0F81"/>
    <w:rsid w:val="05B93D6B"/>
    <w:rsid w:val="05C23EEE"/>
    <w:rsid w:val="05D53002"/>
    <w:rsid w:val="05D75738"/>
    <w:rsid w:val="05EB110D"/>
    <w:rsid w:val="05F17CC7"/>
    <w:rsid w:val="061E7D14"/>
    <w:rsid w:val="06446B44"/>
    <w:rsid w:val="06560AED"/>
    <w:rsid w:val="066469C9"/>
    <w:rsid w:val="066646A1"/>
    <w:rsid w:val="068106E1"/>
    <w:rsid w:val="06983B20"/>
    <w:rsid w:val="069A3B66"/>
    <w:rsid w:val="06A869D6"/>
    <w:rsid w:val="06A9264E"/>
    <w:rsid w:val="06B31420"/>
    <w:rsid w:val="06B91765"/>
    <w:rsid w:val="06CA2AD2"/>
    <w:rsid w:val="06CE3071"/>
    <w:rsid w:val="06D33DBA"/>
    <w:rsid w:val="06E13F9F"/>
    <w:rsid w:val="06FB0AC5"/>
    <w:rsid w:val="070D2D5D"/>
    <w:rsid w:val="07111B8D"/>
    <w:rsid w:val="072C5514"/>
    <w:rsid w:val="0737768A"/>
    <w:rsid w:val="074A5B92"/>
    <w:rsid w:val="075D0147"/>
    <w:rsid w:val="075E3193"/>
    <w:rsid w:val="078E18EB"/>
    <w:rsid w:val="07B10EA5"/>
    <w:rsid w:val="07CE3FA1"/>
    <w:rsid w:val="07EC2ECB"/>
    <w:rsid w:val="07FE66CB"/>
    <w:rsid w:val="080B4D47"/>
    <w:rsid w:val="08321601"/>
    <w:rsid w:val="08326375"/>
    <w:rsid w:val="083D5C91"/>
    <w:rsid w:val="0847191F"/>
    <w:rsid w:val="08591DC3"/>
    <w:rsid w:val="08672793"/>
    <w:rsid w:val="08695E80"/>
    <w:rsid w:val="087C4541"/>
    <w:rsid w:val="087E5595"/>
    <w:rsid w:val="08BA15F2"/>
    <w:rsid w:val="08BC0A60"/>
    <w:rsid w:val="08C52D6F"/>
    <w:rsid w:val="08EF0201"/>
    <w:rsid w:val="08F41DE8"/>
    <w:rsid w:val="094840A2"/>
    <w:rsid w:val="095962AF"/>
    <w:rsid w:val="09737462"/>
    <w:rsid w:val="099156C3"/>
    <w:rsid w:val="09A53F39"/>
    <w:rsid w:val="09A60E13"/>
    <w:rsid w:val="09A82D92"/>
    <w:rsid w:val="09AB2883"/>
    <w:rsid w:val="09CD0A4B"/>
    <w:rsid w:val="09D206F0"/>
    <w:rsid w:val="0A321AC2"/>
    <w:rsid w:val="0A343D4E"/>
    <w:rsid w:val="0A3E6D2E"/>
    <w:rsid w:val="0A4232E4"/>
    <w:rsid w:val="0A4F145F"/>
    <w:rsid w:val="0A8455AD"/>
    <w:rsid w:val="0AD13A85"/>
    <w:rsid w:val="0AE0655C"/>
    <w:rsid w:val="0B091954"/>
    <w:rsid w:val="0B3B7D65"/>
    <w:rsid w:val="0B434C20"/>
    <w:rsid w:val="0B5F0822"/>
    <w:rsid w:val="0B637D77"/>
    <w:rsid w:val="0B7006C4"/>
    <w:rsid w:val="0B726646"/>
    <w:rsid w:val="0B7606E8"/>
    <w:rsid w:val="0B891562"/>
    <w:rsid w:val="0BAC324F"/>
    <w:rsid w:val="0BC11EE9"/>
    <w:rsid w:val="0BF16C73"/>
    <w:rsid w:val="0BF72F1E"/>
    <w:rsid w:val="0C3152C1"/>
    <w:rsid w:val="0C3957A5"/>
    <w:rsid w:val="0C507E2F"/>
    <w:rsid w:val="0C626DA7"/>
    <w:rsid w:val="0C6876AE"/>
    <w:rsid w:val="0C71390F"/>
    <w:rsid w:val="0C720EC8"/>
    <w:rsid w:val="0C942042"/>
    <w:rsid w:val="0C9D50DC"/>
    <w:rsid w:val="0CA5271D"/>
    <w:rsid w:val="0CAC4D10"/>
    <w:rsid w:val="0CC72121"/>
    <w:rsid w:val="0CEE5A21"/>
    <w:rsid w:val="0D05268E"/>
    <w:rsid w:val="0D0646E7"/>
    <w:rsid w:val="0D0C38CA"/>
    <w:rsid w:val="0D206810"/>
    <w:rsid w:val="0D735465"/>
    <w:rsid w:val="0DC577E0"/>
    <w:rsid w:val="0DDC6319"/>
    <w:rsid w:val="0DFE4F67"/>
    <w:rsid w:val="0E0C0D4C"/>
    <w:rsid w:val="0E115DA1"/>
    <w:rsid w:val="0E162D6D"/>
    <w:rsid w:val="0E541CA2"/>
    <w:rsid w:val="0E594756"/>
    <w:rsid w:val="0E904057"/>
    <w:rsid w:val="0E95596D"/>
    <w:rsid w:val="0EAE6205"/>
    <w:rsid w:val="0EAE6579"/>
    <w:rsid w:val="0EAF71BF"/>
    <w:rsid w:val="0ECE6257"/>
    <w:rsid w:val="0EE4129D"/>
    <w:rsid w:val="0F171032"/>
    <w:rsid w:val="0F335E69"/>
    <w:rsid w:val="0F372614"/>
    <w:rsid w:val="0F3D59C9"/>
    <w:rsid w:val="0F516D5A"/>
    <w:rsid w:val="0F565B36"/>
    <w:rsid w:val="0F684933"/>
    <w:rsid w:val="0F821E7D"/>
    <w:rsid w:val="0FCA42ED"/>
    <w:rsid w:val="0FE7592C"/>
    <w:rsid w:val="0FFD20F0"/>
    <w:rsid w:val="103E6E57"/>
    <w:rsid w:val="1041497B"/>
    <w:rsid w:val="10425FF6"/>
    <w:rsid w:val="106612B1"/>
    <w:rsid w:val="109010E6"/>
    <w:rsid w:val="10B271F4"/>
    <w:rsid w:val="10B537CC"/>
    <w:rsid w:val="10C61D50"/>
    <w:rsid w:val="10C8275C"/>
    <w:rsid w:val="10C86D3B"/>
    <w:rsid w:val="10E03539"/>
    <w:rsid w:val="10E82D1F"/>
    <w:rsid w:val="10EE5C94"/>
    <w:rsid w:val="10F5757C"/>
    <w:rsid w:val="10F93ED3"/>
    <w:rsid w:val="113329E7"/>
    <w:rsid w:val="113F294C"/>
    <w:rsid w:val="11437C85"/>
    <w:rsid w:val="11575085"/>
    <w:rsid w:val="1166372C"/>
    <w:rsid w:val="11700D10"/>
    <w:rsid w:val="1178125A"/>
    <w:rsid w:val="118441E0"/>
    <w:rsid w:val="1196056D"/>
    <w:rsid w:val="11D34654"/>
    <w:rsid w:val="12010480"/>
    <w:rsid w:val="120E707F"/>
    <w:rsid w:val="121D0051"/>
    <w:rsid w:val="12413D84"/>
    <w:rsid w:val="127A7D1C"/>
    <w:rsid w:val="12836D8B"/>
    <w:rsid w:val="12AB0349"/>
    <w:rsid w:val="12B66520"/>
    <w:rsid w:val="12CD57F1"/>
    <w:rsid w:val="12CE5941"/>
    <w:rsid w:val="12CE7AFA"/>
    <w:rsid w:val="12D67466"/>
    <w:rsid w:val="13036052"/>
    <w:rsid w:val="13272A5D"/>
    <w:rsid w:val="13386F35"/>
    <w:rsid w:val="13493108"/>
    <w:rsid w:val="134A4EBA"/>
    <w:rsid w:val="13733928"/>
    <w:rsid w:val="13857CA0"/>
    <w:rsid w:val="13920D68"/>
    <w:rsid w:val="139C16C9"/>
    <w:rsid w:val="13A5238E"/>
    <w:rsid w:val="13B63CE1"/>
    <w:rsid w:val="13BC6684"/>
    <w:rsid w:val="13C72B3A"/>
    <w:rsid w:val="13DF575E"/>
    <w:rsid w:val="13E470BD"/>
    <w:rsid w:val="13EE3A98"/>
    <w:rsid w:val="13F3280A"/>
    <w:rsid w:val="142123F7"/>
    <w:rsid w:val="142A11D8"/>
    <w:rsid w:val="144B544C"/>
    <w:rsid w:val="145B7B45"/>
    <w:rsid w:val="14717443"/>
    <w:rsid w:val="148D52E3"/>
    <w:rsid w:val="14992B90"/>
    <w:rsid w:val="14AE2F7D"/>
    <w:rsid w:val="14AF1856"/>
    <w:rsid w:val="14AF19A3"/>
    <w:rsid w:val="14B53957"/>
    <w:rsid w:val="14C53ECE"/>
    <w:rsid w:val="14CF6CB0"/>
    <w:rsid w:val="14DC5FE6"/>
    <w:rsid w:val="14E002E6"/>
    <w:rsid w:val="14FA5832"/>
    <w:rsid w:val="14FC36BD"/>
    <w:rsid w:val="14FF5EA7"/>
    <w:rsid w:val="151E3A0F"/>
    <w:rsid w:val="152534E9"/>
    <w:rsid w:val="153A36AA"/>
    <w:rsid w:val="15477903"/>
    <w:rsid w:val="1557566D"/>
    <w:rsid w:val="15811F1B"/>
    <w:rsid w:val="15A30135"/>
    <w:rsid w:val="15A34015"/>
    <w:rsid w:val="15BB487B"/>
    <w:rsid w:val="15CE086D"/>
    <w:rsid w:val="15E2236F"/>
    <w:rsid w:val="161D09ED"/>
    <w:rsid w:val="162323A3"/>
    <w:rsid w:val="162F30B1"/>
    <w:rsid w:val="1650762F"/>
    <w:rsid w:val="16510F12"/>
    <w:rsid w:val="166448F9"/>
    <w:rsid w:val="1677211D"/>
    <w:rsid w:val="167954F9"/>
    <w:rsid w:val="169F7296"/>
    <w:rsid w:val="16A060BA"/>
    <w:rsid w:val="16A57EAF"/>
    <w:rsid w:val="16AC6E3F"/>
    <w:rsid w:val="16C872D5"/>
    <w:rsid w:val="16D54FA3"/>
    <w:rsid w:val="16D84D9F"/>
    <w:rsid w:val="16E94D3E"/>
    <w:rsid w:val="170D06E0"/>
    <w:rsid w:val="17332185"/>
    <w:rsid w:val="17475951"/>
    <w:rsid w:val="17793FC0"/>
    <w:rsid w:val="179F2E61"/>
    <w:rsid w:val="17BE19D3"/>
    <w:rsid w:val="17C227C0"/>
    <w:rsid w:val="17D66D7C"/>
    <w:rsid w:val="17EE5BFF"/>
    <w:rsid w:val="18097740"/>
    <w:rsid w:val="180B1639"/>
    <w:rsid w:val="184055B9"/>
    <w:rsid w:val="184A2082"/>
    <w:rsid w:val="185D3C42"/>
    <w:rsid w:val="185F38AF"/>
    <w:rsid w:val="188F0211"/>
    <w:rsid w:val="18AD1BEB"/>
    <w:rsid w:val="18B3004A"/>
    <w:rsid w:val="18B96080"/>
    <w:rsid w:val="18DB2CD8"/>
    <w:rsid w:val="18F67868"/>
    <w:rsid w:val="190B2D88"/>
    <w:rsid w:val="190E6B63"/>
    <w:rsid w:val="19123928"/>
    <w:rsid w:val="19194264"/>
    <w:rsid w:val="19283048"/>
    <w:rsid w:val="19420786"/>
    <w:rsid w:val="19427EC0"/>
    <w:rsid w:val="195711D7"/>
    <w:rsid w:val="195D2A3F"/>
    <w:rsid w:val="198310E9"/>
    <w:rsid w:val="198D747A"/>
    <w:rsid w:val="19A15638"/>
    <w:rsid w:val="19A74DFE"/>
    <w:rsid w:val="1A125525"/>
    <w:rsid w:val="1A5F4342"/>
    <w:rsid w:val="1A616E2C"/>
    <w:rsid w:val="1A7F369B"/>
    <w:rsid w:val="1A8C5D82"/>
    <w:rsid w:val="1A994988"/>
    <w:rsid w:val="1A9B546C"/>
    <w:rsid w:val="1AA3511F"/>
    <w:rsid w:val="1AAE3B54"/>
    <w:rsid w:val="1AC10987"/>
    <w:rsid w:val="1AF423FA"/>
    <w:rsid w:val="1B0C5B32"/>
    <w:rsid w:val="1B0D3E82"/>
    <w:rsid w:val="1B1652AB"/>
    <w:rsid w:val="1B181CD5"/>
    <w:rsid w:val="1B265306"/>
    <w:rsid w:val="1B4F2450"/>
    <w:rsid w:val="1B530868"/>
    <w:rsid w:val="1B8C18B7"/>
    <w:rsid w:val="1BB73AE1"/>
    <w:rsid w:val="1BDA6D68"/>
    <w:rsid w:val="1BF14125"/>
    <w:rsid w:val="1C555978"/>
    <w:rsid w:val="1C6554A1"/>
    <w:rsid w:val="1C7971B7"/>
    <w:rsid w:val="1C917D91"/>
    <w:rsid w:val="1CAB2820"/>
    <w:rsid w:val="1CD402EC"/>
    <w:rsid w:val="1CED16EF"/>
    <w:rsid w:val="1CF02333"/>
    <w:rsid w:val="1D0C33A2"/>
    <w:rsid w:val="1D113E6E"/>
    <w:rsid w:val="1D114E5E"/>
    <w:rsid w:val="1D1F0050"/>
    <w:rsid w:val="1D2222DC"/>
    <w:rsid w:val="1D5B3CDE"/>
    <w:rsid w:val="1D632EBE"/>
    <w:rsid w:val="1D6E2950"/>
    <w:rsid w:val="1D98209B"/>
    <w:rsid w:val="1DA23746"/>
    <w:rsid w:val="1DAA14B9"/>
    <w:rsid w:val="1DD04513"/>
    <w:rsid w:val="1DDD2BCB"/>
    <w:rsid w:val="1E0345E3"/>
    <w:rsid w:val="1E1B7B7F"/>
    <w:rsid w:val="1E443370"/>
    <w:rsid w:val="1E656063"/>
    <w:rsid w:val="1E6B06A5"/>
    <w:rsid w:val="1E7F7D9E"/>
    <w:rsid w:val="1E840DA4"/>
    <w:rsid w:val="1EA5444C"/>
    <w:rsid w:val="1EB350EF"/>
    <w:rsid w:val="1EC21749"/>
    <w:rsid w:val="1EEB7C4E"/>
    <w:rsid w:val="1F0203E2"/>
    <w:rsid w:val="1F072441"/>
    <w:rsid w:val="1F171B83"/>
    <w:rsid w:val="1F2D491A"/>
    <w:rsid w:val="1F7369C7"/>
    <w:rsid w:val="1F94547B"/>
    <w:rsid w:val="1FAF308C"/>
    <w:rsid w:val="1FB64FF9"/>
    <w:rsid w:val="1FC11109"/>
    <w:rsid w:val="1FEF08C8"/>
    <w:rsid w:val="1FF72E6A"/>
    <w:rsid w:val="201B3ED4"/>
    <w:rsid w:val="20230F6D"/>
    <w:rsid w:val="20310B02"/>
    <w:rsid w:val="206F0406"/>
    <w:rsid w:val="20784063"/>
    <w:rsid w:val="207E346A"/>
    <w:rsid w:val="208E12C3"/>
    <w:rsid w:val="209502A3"/>
    <w:rsid w:val="2100305C"/>
    <w:rsid w:val="210F579E"/>
    <w:rsid w:val="212550B5"/>
    <w:rsid w:val="21592B62"/>
    <w:rsid w:val="2172049B"/>
    <w:rsid w:val="21747CD2"/>
    <w:rsid w:val="219263AA"/>
    <w:rsid w:val="219E5782"/>
    <w:rsid w:val="21D10545"/>
    <w:rsid w:val="21E72B0B"/>
    <w:rsid w:val="21F66F4C"/>
    <w:rsid w:val="221F2D96"/>
    <w:rsid w:val="22246DB1"/>
    <w:rsid w:val="22440067"/>
    <w:rsid w:val="225A6017"/>
    <w:rsid w:val="22631AF5"/>
    <w:rsid w:val="227A5532"/>
    <w:rsid w:val="22843A03"/>
    <w:rsid w:val="228E5C2C"/>
    <w:rsid w:val="22A338AB"/>
    <w:rsid w:val="22AD37A2"/>
    <w:rsid w:val="22B31E8A"/>
    <w:rsid w:val="22C05285"/>
    <w:rsid w:val="22C735BD"/>
    <w:rsid w:val="22D729A8"/>
    <w:rsid w:val="22F06957"/>
    <w:rsid w:val="23057681"/>
    <w:rsid w:val="23122833"/>
    <w:rsid w:val="231D4917"/>
    <w:rsid w:val="23223458"/>
    <w:rsid w:val="23225D32"/>
    <w:rsid w:val="23357BE6"/>
    <w:rsid w:val="2342574E"/>
    <w:rsid w:val="2377331D"/>
    <w:rsid w:val="237D43DE"/>
    <w:rsid w:val="23940114"/>
    <w:rsid w:val="23B57016"/>
    <w:rsid w:val="23D4764B"/>
    <w:rsid w:val="23EC3718"/>
    <w:rsid w:val="24044EF2"/>
    <w:rsid w:val="2407139D"/>
    <w:rsid w:val="240B04F4"/>
    <w:rsid w:val="242A0646"/>
    <w:rsid w:val="2435301D"/>
    <w:rsid w:val="243A0633"/>
    <w:rsid w:val="243D6E1A"/>
    <w:rsid w:val="24607F91"/>
    <w:rsid w:val="246C581B"/>
    <w:rsid w:val="247C52A2"/>
    <w:rsid w:val="24CC106B"/>
    <w:rsid w:val="24D00598"/>
    <w:rsid w:val="24D725E9"/>
    <w:rsid w:val="25045F70"/>
    <w:rsid w:val="250474F1"/>
    <w:rsid w:val="25056E93"/>
    <w:rsid w:val="25092EBA"/>
    <w:rsid w:val="25241020"/>
    <w:rsid w:val="25302410"/>
    <w:rsid w:val="25336B06"/>
    <w:rsid w:val="257572C3"/>
    <w:rsid w:val="25790E85"/>
    <w:rsid w:val="25972C60"/>
    <w:rsid w:val="25974C6F"/>
    <w:rsid w:val="259D1676"/>
    <w:rsid w:val="25A353EB"/>
    <w:rsid w:val="25B87B65"/>
    <w:rsid w:val="25CB78C3"/>
    <w:rsid w:val="25D54390"/>
    <w:rsid w:val="261879A7"/>
    <w:rsid w:val="261A071C"/>
    <w:rsid w:val="264B0BA4"/>
    <w:rsid w:val="2661459D"/>
    <w:rsid w:val="26755B40"/>
    <w:rsid w:val="268C5256"/>
    <w:rsid w:val="268E455B"/>
    <w:rsid w:val="26912B30"/>
    <w:rsid w:val="269772F0"/>
    <w:rsid w:val="26997893"/>
    <w:rsid w:val="26A30712"/>
    <w:rsid w:val="26AC0C27"/>
    <w:rsid w:val="26C807A6"/>
    <w:rsid w:val="26D1527F"/>
    <w:rsid w:val="26DB67BA"/>
    <w:rsid w:val="26E311CD"/>
    <w:rsid w:val="26EF24ED"/>
    <w:rsid w:val="26F1408A"/>
    <w:rsid w:val="26F96584"/>
    <w:rsid w:val="27015370"/>
    <w:rsid w:val="270B421F"/>
    <w:rsid w:val="274E2228"/>
    <w:rsid w:val="27517A93"/>
    <w:rsid w:val="275E53AF"/>
    <w:rsid w:val="276658E8"/>
    <w:rsid w:val="276F6846"/>
    <w:rsid w:val="277E30D2"/>
    <w:rsid w:val="27803F2A"/>
    <w:rsid w:val="27A34941"/>
    <w:rsid w:val="27EE3A7B"/>
    <w:rsid w:val="283C23DF"/>
    <w:rsid w:val="283D69F1"/>
    <w:rsid w:val="284C16F5"/>
    <w:rsid w:val="28570AB5"/>
    <w:rsid w:val="285F2CDC"/>
    <w:rsid w:val="28622C36"/>
    <w:rsid w:val="289E7E22"/>
    <w:rsid w:val="28C2534B"/>
    <w:rsid w:val="28C5525A"/>
    <w:rsid w:val="28D14B96"/>
    <w:rsid w:val="29020C46"/>
    <w:rsid w:val="290240C7"/>
    <w:rsid w:val="291713AF"/>
    <w:rsid w:val="291A2B97"/>
    <w:rsid w:val="29272553"/>
    <w:rsid w:val="29274EE0"/>
    <w:rsid w:val="295029E3"/>
    <w:rsid w:val="29543A59"/>
    <w:rsid w:val="2969197F"/>
    <w:rsid w:val="29746E87"/>
    <w:rsid w:val="297C03C2"/>
    <w:rsid w:val="299573AB"/>
    <w:rsid w:val="29BE5BD0"/>
    <w:rsid w:val="29C01572"/>
    <w:rsid w:val="29CA4207"/>
    <w:rsid w:val="29E74CE2"/>
    <w:rsid w:val="2A241B69"/>
    <w:rsid w:val="2A306A36"/>
    <w:rsid w:val="2A5372C6"/>
    <w:rsid w:val="2A5B03D8"/>
    <w:rsid w:val="2A6F6D07"/>
    <w:rsid w:val="2A882500"/>
    <w:rsid w:val="2AA35184"/>
    <w:rsid w:val="2AAB4E76"/>
    <w:rsid w:val="2AB63ABC"/>
    <w:rsid w:val="2AB63D0A"/>
    <w:rsid w:val="2B003D00"/>
    <w:rsid w:val="2B074D5E"/>
    <w:rsid w:val="2B100BA9"/>
    <w:rsid w:val="2B1B5825"/>
    <w:rsid w:val="2B1E3AFC"/>
    <w:rsid w:val="2B8D373E"/>
    <w:rsid w:val="2B9E4F56"/>
    <w:rsid w:val="2BDB5A88"/>
    <w:rsid w:val="2BE91C37"/>
    <w:rsid w:val="2BEC3F72"/>
    <w:rsid w:val="2C083572"/>
    <w:rsid w:val="2C185F94"/>
    <w:rsid w:val="2C1F1AC4"/>
    <w:rsid w:val="2C2945BA"/>
    <w:rsid w:val="2C2E71FC"/>
    <w:rsid w:val="2C3F3A41"/>
    <w:rsid w:val="2C4431C4"/>
    <w:rsid w:val="2C62059F"/>
    <w:rsid w:val="2C6634FA"/>
    <w:rsid w:val="2CA25191"/>
    <w:rsid w:val="2CAC022C"/>
    <w:rsid w:val="2CC11807"/>
    <w:rsid w:val="2CF16074"/>
    <w:rsid w:val="2CF81D1B"/>
    <w:rsid w:val="2D23435A"/>
    <w:rsid w:val="2D3F2453"/>
    <w:rsid w:val="2D835174"/>
    <w:rsid w:val="2D9331F9"/>
    <w:rsid w:val="2DD90B7B"/>
    <w:rsid w:val="2DDD3FC1"/>
    <w:rsid w:val="2DF701D8"/>
    <w:rsid w:val="2DF970A1"/>
    <w:rsid w:val="2E085834"/>
    <w:rsid w:val="2E1034F8"/>
    <w:rsid w:val="2E120D8E"/>
    <w:rsid w:val="2E271F44"/>
    <w:rsid w:val="2E443652"/>
    <w:rsid w:val="2E505773"/>
    <w:rsid w:val="2E742F70"/>
    <w:rsid w:val="2E9A689E"/>
    <w:rsid w:val="2EBA4ACA"/>
    <w:rsid w:val="2EDC2A13"/>
    <w:rsid w:val="2EFD7DB9"/>
    <w:rsid w:val="2F1A081D"/>
    <w:rsid w:val="2F1C72B3"/>
    <w:rsid w:val="2F1E3DC0"/>
    <w:rsid w:val="2F2D326E"/>
    <w:rsid w:val="2F3112DE"/>
    <w:rsid w:val="2F3B6922"/>
    <w:rsid w:val="2F3D7B25"/>
    <w:rsid w:val="2F506C6D"/>
    <w:rsid w:val="2F512253"/>
    <w:rsid w:val="2F51291F"/>
    <w:rsid w:val="2F55758A"/>
    <w:rsid w:val="2F7F15AE"/>
    <w:rsid w:val="2FA54796"/>
    <w:rsid w:val="2FA674E2"/>
    <w:rsid w:val="2FFE7D49"/>
    <w:rsid w:val="3002294D"/>
    <w:rsid w:val="3011153D"/>
    <w:rsid w:val="30142680"/>
    <w:rsid w:val="302A11B1"/>
    <w:rsid w:val="302A5C42"/>
    <w:rsid w:val="30662043"/>
    <w:rsid w:val="307A26B9"/>
    <w:rsid w:val="30B8125D"/>
    <w:rsid w:val="30BF439A"/>
    <w:rsid w:val="30CF6A37"/>
    <w:rsid w:val="30D250CF"/>
    <w:rsid w:val="31002970"/>
    <w:rsid w:val="311016AD"/>
    <w:rsid w:val="3136622A"/>
    <w:rsid w:val="3139422E"/>
    <w:rsid w:val="31496359"/>
    <w:rsid w:val="314D19A6"/>
    <w:rsid w:val="316177A4"/>
    <w:rsid w:val="31700E4B"/>
    <w:rsid w:val="3172683C"/>
    <w:rsid w:val="31A359FC"/>
    <w:rsid w:val="31AD0D61"/>
    <w:rsid w:val="31CD297B"/>
    <w:rsid w:val="31CD73BD"/>
    <w:rsid w:val="31D66571"/>
    <w:rsid w:val="31DB4220"/>
    <w:rsid w:val="31DC56CD"/>
    <w:rsid w:val="31E63B94"/>
    <w:rsid w:val="31F27AF7"/>
    <w:rsid w:val="32035783"/>
    <w:rsid w:val="32176602"/>
    <w:rsid w:val="322A7699"/>
    <w:rsid w:val="322B25C6"/>
    <w:rsid w:val="32422E70"/>
    <w:rsid w:val="325E56C6"/>
    <w:rsid w:val="3275698A"/>
    <w:rsid w:val="32A93829"/>
    <w:rsid w:val="32B943EC"/>
    <w:rsid w:val="32DC63A0"/>
    <w:rsid w:val="32E429C1"/>
    <w:rsid w:val="330503EE"/>
    <w:rsid w:val="334045BE"/>
    <w:rsid w:val="334A3B2A"/>
    <w:rsid w:val="3365592E"/>
    <w:rsid w:val="336A31F3"/>
    <w:rsid w:val="336F6533"/>
    <w:rsid w:val="337E5E2F"/>
    <w:rsid w:val="3384610D"/>
    <w:rsid w:val="33AA5979"/>
    <w:rsid w:val="33C03E90"/>
    <w:rsid w:val="33C96649"/>
    <w:rsid w:val="33CC3D88"/>
    <w:rsid w:val="33DD0306"/>
    <w:rsid w:val="33FD722F"/>
    <w:rsid w:val="3400362D"/>
    <w:rsid w:val="340B09C5"/>
    <w:rsid w:val="341E4CAB"/>
    <w:rsid w:val="34584EE2"/>
    <w:rsid w:val="347D373F"/>
    <w:rsid w:val="34922A93"/>
    <w:rsid w:val="34956481"/>
    <w:rsid w:val="34A35871"/>
    <w:rsid w:val="34C06C9D"/>
    <w:rsid w:val="34DF24AE"/>
    <w:rsid w:val="35116EFF"/>
    <w:rsid w:val="351C4931"/>
    <w:rsid w:val="351C4EAC"/>
    <w:rsid w:val="351D4C26"/>
    <w:rsid w:val="352E7D40"/>
    <w:rsid w:val="35361A77"/>
    <w:rsid w:val="35461A22"/>
    <w:rsid w:val="35483CC9"/>
    <w:rsid w:val="35A815CB"/>
    <w:rsid w:val="35A85BD0"/>
    <w:rsid w:val="35AA1B9C"/>
    <w:rsid w:val="35DB09A6"/>
    <w:rsid w:val="35F806FF"/>
    <w:rsid w:val="36080591"/>
    <w:rsid w:val="3609472F"/>
    <w:rsid w:val="369B4CF0"/>
    <w:rsid w:val="36D62629"/>
    <w:rsid w:val="36D76172"/>
    <w:rsid w:val="36D84407"/>
    <w:rsid w:val="36E833BB"/>
    <w:rsid w:val="36EB1E1B"/>
    <w:rsid w:val="36F17F0D"/>
    <w:rsid w:val="37224581"/>
    <w:rsid w:val="3735197D"/>
    <w:rsid w:val="373756A2"/>
    <w:rsid w:val="375E0DA6"/>
    <w:rsid w:val="378B61A6"/>
    <w:rsid w:val="37B90F0B"/>
    <w:rsid w:val="37CD3F98"/>
    <w:rsid w:val="37DF75BA"/>
    <w:rsid w:val="37E148E2"/>
    <w:rsid w:val="37F848EE"/>
    <w:rsid w:val="37F912FC"/>
    <w:rsid w:val="37FE6129"/>
    <w:rsid w:val="38304889"/>
    <w:rsid w:val="38382675"/>
    <w:rsid w:val="383B7B0D"/>
    <w:rsid w:val="3848553B"/>
    <w:rsid w:val="3851700B"/>
    <w:rsid w:val="385246B6"/>
    <w:rsid w:val="3876113B"/>
    <w:rsid w:val="38A53DB7"/>
    <w:rsid w:val="38BF3388"/>
    <w:rsid w:val="38CC268D"/>
    <w:rsid w:val="38DF1FDA"/>
    <w:rsid w:val="38EC2960"/>
    <w:rsid w:val="392536E2"/>
    <w:rsid w:val="39465F15"/>
    <w:rsid w:val="39505209"/>
    <w:rsid w:val="396453C5"/>
    <w:rsid w:val="39922CCF"/>
    <w:rsid w:val="39A65327"/>
    <w:rsid w:val="39A65C9B"/>
    <w:rsid w:val="39BC5ED6"/>
    <w:rsid w:val="39D27231"/>
    <w:rsid w:val="39EB39E0"/>
    <w:rsid w:val="39EF02D4"/>
    <w:rsid w:val="3A11342A"/>
    <w:rsid w:val="3A153110"/>
    <w:rsid w:val="3A2149EA"/>
    <w:rsid w:val="3A2507C0"/>
    <w:rsid w:val="3A285AD8"/>
    <w:rsid w:val="3A393FA7"/>
    <w:rsid w:val="3A3A5A22"/>
    <w:rsid w:val="3A524858"/>
    <w:rsid w:val="3A64203E"/>
    <w:rsid w:val="3A663D00"/>
    <w:rsid w:val="3A7428D0"/>
    <w:rsid w:val="3A923AE4"/>
    <w:rsid w:val="3AA50E25"/>
    <w:rsid w:val="3AC566E3"/>
    <w:rsid w:val="3AD6747A"/>
    <w:rsid w:val="3AD95C48"/>
    <w:rsid w:val="3B312338"/>
    <w:rsid w:val="3B3C5B77"/>
    <w:rsid w:val="3B3D0FF2"/>
    <w:rsid w:val="3B521A18"/>
    <w:rsid w:val="3B8D2B96"/>
    <w:rsid w:val="3B923660"/>
    <w:rsid w:val="3BCA44BE"/>
    <w:rsid w:val="3C061F3A"/>
    <w:rsid w:val="3C0A04F9"/>
    <w:rsid w:val="3C495480"/>
    <w:rsid w:val="3C4C3A42"/>
    <w:rsid w:val="3C6F0167"/>
    <w:rsid w:val="3C71667B"/>
    <w:rsid w:val="3C914F3B"/>
    <w:rsid w:val="3CA91955"/>
    <w:rsid w:val="3CC17F13"/>
    <w:rsid w:val="3CD50B40"/>
    <w:rsid w:val="3CE320A3"/>
    <w:rsid w:val="3CE9196C"/>
    <w:rsid w:val="3CF15105"/>
    <w:rsid w:val="3D0C04B9"/>
    <w:rsid w:val="3D1414C5"/>
    <w:rsid w:val="3D1C763E"/>
    <w:rsid w:val="3D201AA5"/>
    <w:rsid w:val="3D2B37EA"/>
    <w:rsid w:val="3D2F7FF3"/>
    <w:rsid w:val="3D3D1507"/>
    <w:rsid w:val="3D62085B"/>
    <w:rsid w:val="3D7B4622"/>
    <w:rsid w:val="3D8E5820"/>
    <w:rsid w:val="3D942E29"/>
    <w:rsid w:val="3DA53531"/>
    <w:rsid w:val="3DB54E0C"/>
    <w:rsid w:val="3DB900C1"/>
    <w:rsid w:val="3DE91725"/>
    <w:rsid w:val="3DF159B1"/>
    <w:rsid w:val="3E1A106E"/>
    <w:rsid w:val="3E36303B"/>
    <w:rsid w:val="3E526044"/>
    <w:rsid w:val="3E6C2B3A"/>
    <w:rsid w:val="3E8C5311"/>
    <w:rsid w:val="3E8E7E55"/>
    <w:rsid w:val="3EB61473"/>
    <w:rsid w:val="3EC66011"/>
    <w:rsid w:val="3ED75B7F"/>
    <w:rsid w:val="3F315E6B"/>
    <w:rsid w:val="3F5175E2"/>
    <w:rsid w:val="3F56276A"/>
    <w:rsid w:val="3F6C10E0"/>
    <w:rsid w:val="3F963015"/>
    <w:rsid w:val="3F964D35"/>
    <w:rsid w:val="3FA327ED"/>
    <w:rsid w:val="3FB11738"/>
    <w:rsid w:val="3FB5581B"/>
    <w:rsid w:val="3FC33D05"/>
    <w:rsid w:val="3FD3401C"/>
    <w:rsid w:val="3FF46B18"/>
    <w:rsid w:val="3FF74A2E"/>
    <w:rsid w:val="3FFC36E2"/>
    <w:rsid w:val="4005572D"/>
    <w:rsid w:val="402833BA"/>
    <w:rsid w:val="40283C2B"/>
    <w:rsid w:val="40394FD1"/>
    <w:rsid w:val="40425879"/>
    <w:rsid w:val="405C1C05"/>
    <w:rsid w:val="40765D15"/>
    <w:rsid w:val="407B4FC1"/>
    <w:rsid w:val="407F2DE9"/>
    <w:rsid w:val="40991379"/>
    <w:rsid w:val="409B3C3D"/>
    <w:rsid w:val="40F701DF"/>
    <w:rsid w:val="40FD480A"/>
    <w:rsid w:val="412A32F8"/>
    <w:rsid w:val="417F433E"/>
    <w:rsid w:val="419C4043"/>
    <w:rsid w:val="41B7239D"/>
    <w:rsid w:val="41FF3845"/>
    <w:rsid w:val="421104A9"/>
    <w:rsid w:val="42143B88"/>
    <w:rsid w:val="42164586"/>
    <w:rsid w:val="425B5DD1"/>
    <w:rsid w:val="4260300C"/>
    <w:rsid w:val="42755200"/>
    <w:rsid w:val="42772802"/>
    <w:rsid w:val="427C799E"/>
    <w:rsid w:val="42800B9B"/>
    <w:rsid w:val="4281223D"/>
    <w:rsid w:val="42A06B6C"/>
    <w:rsid w:val="42A27996"/>
    <w:rsid w:val="42AA04E2"/>
    <w:rsid w:val="42EA5650"/>
    <w:rsid w:val="431408DA"/>
    <w:rsid w:val="4331401E"/>
    <w:rsid w:val="43591DDA"/>
    <w:rsid w:val="435A0DF2"/>
    <w:rsid w:val="436C42E1"/>
    <w:rsid w:val="437C210F"/>
    <w:rsid w:val="43841EFF"/>
    <w:rsid w:val="43847F02"/>
    <w:rsid w:val="438F113C"/>
    <w:rsid w:val="439E7EFB"/>
    <w:rsid w:val="43B1568A"/>
    <w:rsid w:val="43B64E08"/>
    <w:rsid w:val="43BD7F58"/>
    <w:rsid w:val="43D43ECA"/>
    <w:rsid w:val="43DD452F"/>
    <w:rsid w:val="43DE6CD4"/>
    <w:rsid w:val="43E51150"/>
    <w:rsid w:val="43EF28BB"/>
    <w:rsid w:val="43EF56D3"/>
    <w:rsid w:val="44095C00"/>
    <w:rsid w:val="440A6FD2"/>
    <w:rsid w:val="44366C11"/>
    <w:rsid w:val="444946CA"/>
    <w:rsid w:val="444B3F54"/>
    <w:rsid w:val="4476661F"/>
    <w:rsid w:val="447E3AC5"/>
    <w:rsid w:val="44805ED4"/>
    <w:rsid w:val="448E5DEE"/>
    <w:rsid w:val="44A90BAA"/>
    <w:rsid w:val="44B24A20"/>
    <w:rsid w:val="44BC0BEE"/>
    <w:rsid w:val="44BF6C07"/>
    <w:rsid w:val="44C55A88"/>
    <w:rsid w:val="44FB1C9C"/>
    <w:rsid w:val="45392A13"/>
    <w:rsid w:val="454F1836"/>
    <w:rsid w:val="45701CAF"/>
    <w:rsid w:val="45887B45"/>
    <w:rsid w:val="458B66DF"/>
    <w:rsid w:val="45940F0E"/>
    <w:rsid w:val="45AC5DBA"/>
    <w:rsid w:val="45C02C36"/>
    <w:rsid w:val="45C647AF"/>
    <w:rsid w:val="45DD529D"/>
    <w:rsid w:val="45E57886"/>
    <w:rsid w:val="45E945CC"/>
    <w:rsid w:val="46003076"/>
    <w:rsid w:val="46026F63"/>
    <w:rsid w:val="46177E29"/>
    <w:rsid w:val="46205B7F"/>
    <w:rsid w:val="465D501C"/>
    <w:rsid w:val="466367DB"/>
    <w:rsid w:val="46686D18"/>
    <w:rsid w:val="46BF7E28"/>
    <w:rsid w:val="46C3037C"/>
    <w:rsid w:val="46FF15E0"/>
    <w:rsid w:val="4700581C"/>
    <w:rsid w:val="4702516A"/>
    <w:rsid w:val="474A4B33"/>
    <w:rsid w:val="47665A15"/>
    <w:rsid w:val="47677941"/>
    <w:rsid w:val="477F1660"/>
    <w:rsid w:val="4788232A"/>
    <w:rsid w:val="478B0398"/>
    <w:rsid w:val="478F5D0B"/>
    <w:rsid w:val="47A31F5F"/>
    <w:rsid w:val="47B52444"/>
    <w:rsid w:val="47B8724E"/>
    <w:rsid w:val="47ED7BCA"/>
    <w:rsid w:val="48016F34"/>
    <w:rsid w:val="480556DB"/>
    <w:rsid w:val="48185C56"/>
    <w:rsid w:val="48450F81"/>
    <w:rsid w:val="484E729D"/>
    <w:rsid w:val="48566773"/>
    <w:rsid w:val="485A23C2"/>
    <w:rsid w:val="48A16B62"/>
    <w:rsid w:val="48BC6222"/>
    <w:rsid w:val="48C245E9"/>
    <w:rsid w:val="48DB312A"/>
    <w:rsid w:val="48DF49D9"/>
    <w:rsid w:val="492108CC"/>
    <w:rsid w:val="49413F52"/>
    <w:rsid w:val="494F6304"/>
    <w:rsid w:val="4A05334F"/>
    <w:rsid w:val="4A244932"/>
    <w:rsid w:val="4A2922C8"/>
    <w:rsid w:val="4A4117B2"/>
    <w:rsid w:val="4A4A6F73"/>
    <w:rsid w:val="4A7A4350"/>
    <w:rsid w:val="4A7E2497"/>
    <w:rsid w:val="4A896826"/>
    <w:rsid w:val="4ABF5E17"/>
    <w:rsid w:val="4AD52CE0"/>
    <w:rsid w:val="4AE01A66"/>
    <w:rsid w:val="4AE104D6"/>
    <w:rsid w:val="4AE724D1"/>
    <w:rsid w:val="4AE77140"/>
    <w:rsid w:val="4AEA4061"/>
    <w:rsid w:val="4AED707B"/>
    <w:rsid w:val="4AFA2F07"/>
    <w:rsid w:val="4B015D61"/>
    <w:rsid w:val="4B0B7979"/>
    <w:rsid w:val="4B1530DD"/>
    <w:rsid w:val="4B520DF4"/>
    <w:rsid w:val="4B603107"/>
    <w:rsid w:val="4B9802B0"/>
    <w:rsid w:val="4B9E65BE"/>
    <w:rsid w:val="4B9F33A8"/>
    <w:rsid w:val="4BA80AFD"/>
    <w:rsid w:val="4BB033BA"/>
    <w:rsid w:val="4BB469AD"/>
    <w:rsid w:val="4BC06040"/>
    <w:rsid w:val="4BF441D2"/>
    <w:rsid w:val="4C1C2A09"/>
    <w:rsid w:val="4C423098"/>
    <w:rsid w:val="4C694192"/>
    <w:rsid w:val="4C7964D9"/>
    <w:rsid w:val="4C9269F6"/>
    <w:rsid w:val="4CC84335"/>
    <w:rsid w:val="4CE9350A"/>
    <w:rsid w:val="4D225F85"/>
    <w:rsid w:val="4D297BF3"/>
    <w:rsid w:val="4D2D0EAF"/>
    <w:rsid w:val="4D7F0082"/>
    <w:rsid w:val="4D952FD9"/>
    <w:rsid w:val="4D970662"/>
    <w:rsid w:val="4DB33393"/>
    <w:rsid w:val="4DBC3CE3"/>
    <w:rsid w:val="4DCF1E0D"/>
    <w:rsid w:val="4DD632D9"/>
    <w:rsid w:val="4DE05D9E"/>
    <w:rsid w:val="4DE05DF9"/>
    <w:rsid w:val="4DE44800"/>
    <w:rsid w:val="4DEE0709"/>
    <w:rsid w:val="4DFC14EA"/>
    <w:rsid w:val="4DFF6815"/>
    <w:rsid w:val="4E0A3427"/>
    <w:rsid w:val="4E287F63"/>
    <w:rsid w:val="4E304B5D"/>
    <w:rsid w:val="4E4A6CEE"/>
    <w:rsid w:val="4E611B8B"/>
    <w:rsid w:val="4E6279D7"/>
    <w:rsid w:val="4E682F8C"/>
    <w:rsid w:val="4E6A7BB7"/>
    <w:rsid w:val="4EB23220"/>
    <w:rsid w:val="4F0773B4"/>
    <w:rsid w:val="4F307BB1"/>
    <w:rsid w:val="4F3D562D"/>
    <w:rsid w:val="4F5C4EE0"/>
    <w:rsid w:val="4F6E1972"/>
    <w:rsid w:val="4F943166"/>
    <w:rsid w:val="4FBA02A1"/>
    <w:rsid w:val="4FE7106E"/>
    <w:rsid w:val="50053943"/>
    <w:rsid w:val="50374A3C"/>
    <w:rsid w:val="50550E55"/>
    <w:rsid w:val="50901457"/>
    <w:rsid w:val="509F43E4"/>
    <w:rsid w:val="50A54D3E"/>
    <w:rsid w:val="50B82E88"/>
    <w:rsid w:val="50BB32A7"/>
    <w:rsid w:val="50F1402B"/>
    <w:rsid w:val="50FD2AD9"/>
    <w:rsid w:val="51081E85"/>
    <w:rsid w:val="51097D9A"/>
    <w:rsid w:val="51237D2E"/>
    <w:rsid w:val="515B06D0"/>
    <w:rsid w:val="51996737"/>
    <w:rsid w:val="51B408B8"/>
    <w:rsid w:val="51B80848"/>
    <w:rsid w:val="51CC0868"/>
    <w:rsid w:val="51D5340F"/>
    <w:rsid w:val="52382F2A"/>
    <w:rsid w:val="52386E3D"/>
    <w:rsid w:val="523A7DD1"/>
    <w:rsid w:val="523B7711"/>
    <w:rsid w:val="5271774C"/>
    <w:rsid w:val="528D7B65"/>
    <w:rsid w:val="52DE008D"/>
    <w:rsid w:val="52EE341E"/>
    <w:rsid w:val="52F37FE6"/>
    <w:rsid w:val="52FC1CAF"/>
    <w:rsid w:val="530B071F"/>
    <w:rsid w:val="531A330F"/>
    <w:rsid w:val="532B6CAF"/>
    <w:rsid w:val="53350D91"/>
    <w:rsid w:val="53412644"/>
    <w:rsid w:val="53433903"/>
    <w:rsid w:val="53517A72"/>
    <w:rsid w:val="5361549D"/>
    <w:rsid w:val="536220DA"/>
    <w:rsid w:val="53650637"/>
    <w:rsid w:val="53757C6B"/>
    <w:rsid w:val="537E1075"/>
    <w:rsid w:val="53A44D07"/>
    <w:rsid w:val="53A46AC8"/>
    <w:rsid w:val="53AB7F1F"/>
    <w:rsid w:val="53AC6F7B"/>
    <w:rsid w:val="53D578AD"/>
    <w:rsid w:val="53EB297B"/>
    <w:rsid w:val="53EC4BF7"/>
    <w:rsid w:val="53F758A1"/>
    <w:rsid w:val="540D5A7F"/>
    <w:rsid w:val="542E2BC2"/>
    <w:rsid w:val="54352A96"/>
    <w:rsid w:val="54447390"/>
    <w:rsid w:val="544B514D"/>
    <w:rsid w:val="545E1D01"/>
    <w:rsid w:val="54674051"/>
    <w:rsid w:val="54935B8F"/>
    <w:rsid w:val="54CC6227"/>
    <w:rsid w:val="54D10F9B"/>
    <w:rsid w:val="54D97871"/>
    <w:rsid w:val="551D586C"/>
    <w:rsid w:val="55200298"/>
    <w:rsid w:val="55335E1B"/>
    <w:rsid w:val="554B7EF0"/>
    <w:rsid w:val="556F3D99"/>
    <w:rsid w:val="55720837"/>
    <w:rsid w:val="55860894"/>
    <w:rsid w:val="558F6181"/>
    <w:rsid w:val="55B02DF1"/>
    <w:rsid w:val="55DC290C"/>
    <w:rsid w:val="55E71B19"/>
    <w:rsid w:val="55EA5D64"/>
    <w:rsid w:val="55F01FA1"/>
    <w:rsid w:val="55FC19B9"/>
    <w:rsid w:val="56130B60"/>
    <w:rsid w:val="56990B7C"/>
    <w:rsid w:val="569E1126"/>
    <w:rsid w:val="56A8690E"/>
    <w:rsid w:val="56B80DEB"/>
    <w:rsid w:val="56E0560F"/>
    <w:rsid w:val="56E06E61"/>
    <w:rsid w:val="56F653FE"/>
    <w:rsid w:val="574448FC"/>
    <w:rsid w:val="57561D39"/>
    <w:rsid w:val="575B7AFD"/>
    <w:rsid w:val="57660D3F"/>
    <w:rsid w:val="5785783C"/>
    <w:rsid w:val="57D1153D"/>
    <w:rsid w:val="57FA3774"/>
    <w:rsid w:val="58084A3C"/>
    <w:rsid w:val="582772A7"/>
    <w:rsid w:val="58531B77"/>
    <w:rsid w:val="585D2975"/>
    <w:rsid w:val="585F64F9"/>
    <w:rsid w:val="587E3341"/>
    <w:rsid w:val="587F428B"/>
    <w:rsid w:val="58CF56D8"/>
    <w:rsid w:val="58D31010"/>
    <w:rsid w:val="58D6741E"/>
    <w:rsid w:val="58DB0535"/>
    <w:rsid w:val="58E62E0E"/>
    <w:rsid w:val="58EA3D0E"/>
    <w:rsid w:val="58F24A5D"/>
    <w:rsid w:val="58F71269"/>
    <w:rsid w:val="58FE045E"/>
    <w:rsid w:val="59377AC0"/>
    <w:rsid w:val="59561946"/>
    <w:rsid w:val="59670F51"/>
    <w:rsid w:val="596A44F9"/>
    <w:rsid w:val="596C19BB"/>
    <w:rsid w:val="59790BDB"/>
    <w:rsid w:val="597E3F42"/>
    <w:rsid w:val="598653AC"/>
    <w:rsid w:val="59AC3C86"/>
    <w:rsid w:val="59D42FDA"/>
    <w:rsid w:val="59DA4E01"/>
    <w:rsid w:val="59F64E82"/>
    <w:rsid w:val="5A0A5DD6"/>
    <w:rsid w:val="5A10435C"/>
    <w:rsid w:val="5A2654CC"/>
    <w:rsid w:val="5A323A44"/>
    <w:rsid w:val="5A395E66"/>
    <w:rsid w:val="5A484352"/>
    <w:rsid w:val="5A5321A5"/>
    <w:rsid w:val="5A6532E5"/>
    <w:rsid w:val="5A8734AF"/>
    <w:rsid w:val="5A9D3E45"/>
    <w:rsid w:val="5AA4101D"/>
    <w:rsid w:val="5AB17576"/>
    <w:rsid w:val="5ABD68E6"/>
    <w:rsid w:val="5ABF73D2"/>
    <w:rsid w:val="5ACB3D8A"/>
    <w:rsid w:val="5AE1508F"/>
    <w:rsid w:val="5AF80256"/>
    <w:rsid w:val="5B110CC9"/>
    <w:rsid w:val="5B1F7B5D"/>
    <w:rsid w:val="5B585171"/>
    <w:rsid w:val="5B585B78"/>
    <w:rsid w:val="5B6D62B9"/>
    <w:rsid w:val="5B9A2B59"/>
    <w:rsid w:val="5BAB12BF"/>
    <w:rsid w:val="5BC0085A"/>
    <w:rsid w:val="5BE03293"/>
    <w:rsid w:val="5BF03D58"/>
    <w:rsid w:val="5BF20AFB"/>
    <w:rsid w:val="5C1A6BB2"/>
    <w:rsid w:val="5C37233A"/>
    <w:rsid w:val="5C5355FE"/>
    <w:rsid w:val="5C6F4105"/>
    <w:rsid w:val="5CBB7F6F"/>
    <w:rsid w:val="5CC248CE"/>
    <w:rsid w:val="5D042FB1"/>
    <w:rsid w:val="5D442CB4"/>
    <w:rsid w:val="5D7C3F11"/>
    <w:rsid w:val="5D9D49E0"/>
    <w:rsid w:val="5DDF1821"/>
    <w:rsid w:val="5DE2656A"/>
    <w:rsid w:val="5DEA2F91"/>
    <w:rsid w:val="5DF94AE0"/>
    <w:rsid w:val="5DFA5883"/>
    <w:rsid w:val="5E3146A3"/>
    <w:rsid w:val="5E442F62"/>
    <w:rsid w:val="5E6C2C5B"/>
    <w:rsid w:val="5E6E2DD8"/>
    <w:rsid w:val="5E7251A2"/>
    <w:rsid w:val="5E7C3591"/>
    <w:rsid w:val="5E9D0E18"/>
    <w:rsid w:val="5EA341D7"/>
    <w:rsid w:val="5EA755DE"/>
    <w:rsid w:val="5ED35F0E"/>
    <w:rsid w:val="5EDF7832"/>
    <w:rsid w:val="5EFC1390"/>
    <w:rsid w:val="5EFC3EB6"/>
    <w:rsid w:val="5F03335D"/>
    <w:rsid w:val="5F0368C7"/>
    <w:rsid w:val="5F1544E7"/>
    <w:rsid w:val="5F312D8D"/>
    <w:rsid w:val="5F3C4923"/>
    <w:rsid w:val="5F4160B0"/>
    <w:rsid w:val="5F5A7800"/>
    <w:rsid w:val="5F7811D3"/>
    <w:rsid w:val="5F9A65E6"/>
    <w:rsid w:val="5F9B2627"/>
    <w:rsid w:val="5FAC7B1F"/>
    <w:rsid w:val="5FB80E3D"/>
    <w:rsid w:val="5FB831B4"/>
    <w:rsid w:val="5FD40999"/>
    <w:rsid w:val="5FE5522B"/>
    <w:rsid w:val="5FF03F08"/>
    <w:rsid w:val="5FF2548E"/>
    <w:rsid w:val="5FF313D3"/>
    <w:rsid w:val="602610FD"/>
    <w:rsid w:val="602808B2"/>
    <w:rsid w:val="603814FF"/>
    <w:rsid w:val="604109A8"/>
    <w:rsid w:val="605D2617"/>
    <w:rsid w:val="60616CDC"/>
    <w:rsid w:val="60624E53"/>
    <w:rsid w:val="606319E5"/>
    <w:rsid w:val="607A77D8"/>
    <w:rsid w:val="607B3C50"/>
    <w:rsid w:val="608B6567"/>
    <w:rsid w:val="60AA3E6F"/>
    <w:rsid w:val="60FF21D9"/>
    <w:rsid w:val="613021B3"/>
    <w:rsid w:val="61306A6A"/>
    <w:rsid w:val="613253FD"/>
    <w:rsid w:val="61421F29"/>
    <w:rsid w:val="61712185"/>
    <w:rsid w:val="618B7207"/>
    <w:rsid w:val="61A90D68"/>
    <w:rsid w:val="62065A1D"/>
    <w:rsid w:val="621775E2"/>
    <w:rsid w:val="622F7552"/>
    <w:rsid w:val="6250406E"/>
    <w:rsid w:val="627D6831"/>
    <w:rsid w:val="62811B1C"/>
    <w:rsid w:val="62A20409"/>
    <w:rsid w:val="62B54B44"/>
    <w:rsid w:val="62E045DA"/>
    <w:rsid w:val="62E454A1"/>
    <w:rsid w:val="62F36E4C"/>
    <w:rsid w:val="62F47F8F"/>
    <w:rsid w:val="62F7233F"/>
    <w:rsid w:val="631F3FB4"/>
    <w:rsid w:val="6340438B"/>
    <w:rsid w:val="6353238E"/>
    <w:rsid w:val="63612AB8"/>
    <w:rsid w:val="6379289B"/>
    <w:rsid w:val="637D0978"/>
    <w:rsid w:val="638968B0"/>
    <w:rsid w:val="638A282C"/>
    <w:rsid w:val="63A85E90"/>
    <w:rsid w:val="63A962DB"/>
    <w:rsid w:val="63AB1A91"/>
    <w:rsid w:val="63B82D47"/>
    <w:rsid w:val="63C74D38"/>
    <w:rsid w:val="63EE4692"/>
    <w:rsid w:val="63FD622D"/>
    <w:rsid w:val="643F32F9"/>
    <w:rsid w:val="64582686"/>
    <w:rsid w:val="64673C87"/>
    <w:rsid w:val="64A170D2"/>
    <w:rsid w:val="64A251DD"/>
    <w:rsid w:val="650242F0"/>
    <w:rsid w:val="65365B2B"/>
    <w:rsid w:val="653F447E"/>
    <w:rsid w:val="65542778"/>
    <w:rsid w:val="655829AF"/>
    <w:rsid w:val="656B70C3"/>
    <w:rsid w:val="658F4798"/>
    <w:rsid w:val="659B1EBA"/>
    <w:rsid w:val="65A83379"/>
    <w:rsid w:val="65B461E9"/>
    <w:rsid w:val="65BE39A8"/>
    <w:rsid w:val="65FB3FBE"/>
    <w:rsid w:val="66247D11"/>
    <w:rsid w:val="66736112"/>
    <w:rsid w:val="667F5B5B"/>
    <w:rsid w:val="6694262A"/>
    <w:rsid w:val="66990381"/>
    <w:rsid w:val="66B31B01"/>
    <w:rsid w:val="66CE1E80"/>
    <w:rsid w:val="66E362F9"/>
    <w:rsid w:val="66E47FD9"/>
    <w:rsid w:val="66F127F8"/>
    <w:rsid w:val="67071922"/>
    <w:rsid w:val="673B73C0"/>
    <w:rsid w:val="674743C8"/>
    <w:rsid w:val="675608B6"/>
    <w:rsid w:val="67754402"/>
    <w:rsid w:val="677D54ED"/>
    <w:rsid w:val="67975573"/>
    <w:rsid w:val="67B25E27"/>
    <w:rsid w:val="67B4646D"/>
    <w:rsid w:val="67B464CA"/>
    <w:rsid w:val="67C4383B"/>
    <w:rsid w:val="67D35E1A"/>
    <w:rsid w:val="67F35317"/>
    <w:rsid w:val="680201B7"/>
    <w:rsid w:val="68362BFB"/>
    <w:rsid w:val="683D085A"/>
    <w:rsid w:val="683F1130"/>
    <w:rsid w:val="684456A1"/>
    <w:rsid w:val="685E1363"/>
    <w:rsid w:val="687731D1"/>
    <w:rsid w:val="6878475E"/>
    <w:rsid w:val="688E1089"/>
    <w:rsid w:val="68993219"/>
    <w:rsid w:val="68A026F3"/>
    <w:rsid w:val="68AF6C13"/>
    <w:rsid w:val="68F25680"/>
    <w:rsid w:val="690E07C7"/>
    <w:rsid w:val="69236A65"/>
    <w:rsid w:val="692E469B"/>
    <w:rsid w:val="69315C48"/>
    <w:rsid w:val="694019EC"/>
    <w:rsid w:val="694841AF"/>
    <w:rsid w:val="69584DB4"/>
    <w:rsid w:val="696C3D80"/>
    <w:rsid w:val="698A5EE4"/>
    <w:rsid w:val="69C811ED"/>
    <w:rsid w:val="69D33070"/>
    <w:rsid w:val="69E97E75"/>
    <w:rsid w:val="69FB5D9E"/>
    <w:rsid w:val="69FF6FDA"/>
    <w:rsid w:val="6A1A3007"/>
    <w:rsid w:val="6A1E645E"/>
    <w:rsid w:val="6A417049"/>
    <w:rsid w:val="6A514CB6"/>
    <w:rsid w:val="6A7903E5"/>
    <w:rsid w:val="6A8219B9"/>
    <w:rsid w:val="6AA03032"/>
    <w:rsid w:val="6AA86FEC"/>
    <w:rsid w:val="6ACB20F7"/>
    <w:rsid w:val="6ADA6AC4"/>
    <w:rsid w:val="6ADB11D6"/>
    <w:rsid w:val="6B1A2C3C"/>
    <w:rsid w:val="6B31644D"/>
    <w:rsid w:val="6B486C86"/>
    <w:rsid w:val="6B554C72"/>
    <w:rsid w:val="6B774DF2"/>
    <w:rsid w:val="6B847AD7"/>
    <w:rsid w:val="6B9A2DF9"/>
    <w:rsid w:val="6BA56BC7"/>
    <w:rsid w:val="6BAC4619"/>
    <w:rsid w:val="6BC60150"/>
    <w:rsid w:val="6BCD2823"/>
    <w:rsid w:val="6BDD15DD"/>
    <w:rsid w:val="6BDF2966"/>
    <w:rsid w:val="6BE86A5F"/>
    <w:rsid w:val="6C234DED"/>
    <w:rsid w:val="6C29198B"/>
    <w:rsid w:val="6C3A67D1"/>
    <w:rsid w:val="6C3D2D5C"/>
    <w:rsid w:val="6C4800AA"/>
    <w:rsid w:val="6C4D28F8"/>
    <w:rsid w:val="6C573E9C"/>
    <w:rsid w:val="6C5C23DC"/>
    <w:rsid w:val="6C6D1126"/>
    <w:rsid w:val="6C986334"/>
    <w:rsid w:val="6CA35B3A"/>
    <w:rsid w:val="6CA409AC"/>
    <w:rsid w:val="6CA41A5D"/>
    <w:rsid w:val="6CA479DF"/>
    <w:rsid w:val="6CAF588C"/>
    <w:rsid w:val="6CB4638E"/>
    <w:rsid w:val="6CBF3C6A"/>
    <w:rsid w:val="6CBF5306"/>
    <w:rsid w:val="6CE70FA1"/>
    <w:rsid w:val="6CFA6351"/>
    <w:rsid w:val="6CFC3C40"/>
    <w:rsid w:val="6D480984"/>
    <w:rsid w:val="6DB13E57"/>
    <w:rsid w:val="6DC71662"/>
    <w:rsid w:val="6DCD5126"/>
    <w:rsid w:val="6DDB6CB0"/>
    <w:rsid w:val="6DE21877"/>
    <w:rsid w:val="6DE52ACD"/>
    <w:rsid w:val="6DFC0B44"/>
    <w:rsid w:val="6E0458E7"/>
    <w:rsid w:val="6E212037"/>
    <w:rsid w:val="6E3B221B"/>
    <w:rsid w:val="6E475779"/>
    <w:rsid w:val="6E663C68"/>
    <w:rsid w:val="6E7764EF"/>
    <w:rsid w:val="6EAD447C"/>
    <w:rsid w:val="6EAE5472"/>
    <w:rsid w:val="6EBC069A"/>
    <w:rsid w:val="6ECD7F59"/>
    <w:rsid w:val="6ECF449B"/>
    <w:rsid w:val="6EED7C80"/>
    <w:rsid w:val="6EF773A4"/>
    <w:rsid w:val="6F1E2E65"/>
    <w:rsid w:val="6F2F2D9E"/>
    <w:rsid w:val="6F4147D9"/>
    <w:rsid w:val="6F581F47"/>
    <w:rsid w:val="6F5B0D5A"/>
    <w:rsid w:val="6F5C35EA"/>
    <w:rsid w:val="6F6B6A15"/>
    <w:rsid w:val="6F947E4B"/>
    <w:rsid w:val="6FA30BDA"/>
    <w:rsid w:val="6FB21D4C"/>
    <w:rsid w:val="6FB80698"/>
    <w:rsid w:val="701021F4"/>
    <w:rsid w:val="701C29A6"/>
    <w:rsid w:val="7024611F"/>
    <w:rsid w:val="70637B96"/>
    <w:rsid w:val="70797317"/>
    <w:rsid w:val="7099044B"/>
    <w:rsid w:val="709D518F"/>
    <w:rsid w:val="70C759D3"/>
    <w:rsid w:val="70CF2B23"/>
    <w:rsid w:val="70D70CB1"/>
    <w:rsid w:val="70FC2E9F"/>
    <w:rsid w:val="710952C1"/>
    <w:rsid w:val="71452CD8"/>
    <w:rsid w:val="7158683A"/>
    <w:rsid w:val="715B2F52"/>
    <w:rsid w:val="7167680B"/>
    <w:rsid w:val="71764F23"/>
    <w:rsid w:val="71946576"/>
    <w:rsid w:val="71967E84"/>
    <w:rsid w:val="71A61873"/>
    <w:rsid w:val="71AF4936"/>
    <w:rsid w:val="71B12351"/>
    <w:rsid w:val="71D75D0F"/>
    <w:rsid w:val="721919B3"/>
    <w:rsid w:val="721A6098"/>
    <w:rsid w:val="721D18D3"/>
    <w:rsid w:val="72310D1A"/>
    <w:rsid w:val="725D6B54"/>
    <w:rsid w:val="72986FA0"/>
    <w:rsid w:val="72A17C99"/>
    <w:rsid w:val="72A5093A"/>
    <w:rsid w:val="72AD7197"/>
    <w:rsid w:val="72AF6F7E"/>
    <w:rsid w:val="72CD226C"/>
    <w:rsid w:val="73047904"/>
    <w:rsid w:val="73253EFA"/>
    <w:rsid w:val="734C1A6A"/>
    <w:rsid w:val="735C5949"/>
    <w:rsid w:val="73671287"/>
    <w:rsid w:val="73737DA5"/>
    <w:rsid w:val="73740A39"/>
    <w:rsid w:val="73783823"/>
    <w:rsid w:val="73887B3E"/>
    <w:rsid w:val="73892412"/>
    <w:rsid w:val="73AF2114"/>
    <w:rsid w:val="73E96BCA"/>
    <w:rsid w:val="73EE4A6E"/>
    <w:rsid w:val="741048BC"/>
    <w:rsid w:val="742E78D4"/>
    <w:rsid w:val="74317498"/>
    <w:rsid w:val="74335A84"/>
    <w:rsid w:val="743A6A13"/>
    <w:rsid w:val="74676A28"/>
    <w:rsid w:val="747E40B6"/>
    <w:rsid w:val="74AC3224"/>
    <w:rsid w:val="74B21065"/>
    <w:rsid w:val="74BB2C83"/>
    <w:rsid w:val="74C33758"/>
    <w:rsid w:val="74DE4E5F"/>
    <w:rsid w:val="74EB54AB"/>
    <w:rsid w:val="74FF6D43"/>
    <w:rsid w:val="750201A2"/>
    <w:rsid w:val="751A76AF"/>
    <w:rsid w:val="75241FEA"/>
    <w:rsid w:val="75250574"/>
    <w:rsid w:val="7550443E"/>
    <w:rsid w:val="755F0BCC"/>
    <w:rsid w:val="756F17F9"/>
    <w:rsid w:val="75825461"/>
    <w:rsid w:val="759926FC"/>
    <w:rsid w:val="75A24276"/>
    <w:rsid w:val="75AA231D"/>
    <w:rsid w:val="75AD6340"/>
    <w:rsid w:val="75DF5F11"/>
    <w:rsid w:val="75E8633A"/>
    <w:rsid w:val="76393874"/>
    <w:rsid w:val="763F09AA"/>
    <w:rsid w:val="764F3FCC"/>
    <w:rsid w:val="7650339F"/>
    <w:rsid w:val="76603C9A"/>
    <w:rsid w:val="76832D41"/>
    <w:rsid w:val="76BB1CAB"/>
    <w:rsid w:val="76C04050"/>
    <w:rsid w:val="76D67314"/>
    <w:rsid w:val="76E65049"/>
    <w:rsid w:val="77076007"/>
    <w:rsid w:val="77413F7E"/>
    <w:rsid w:val="77464076"/>
    <w:rsid w:val="7758241F"/>
    <w:rsid w:val="777A7D22"/>
    <w:rsid w:val="77835654"/>
    <w:rsid w:val="7797109C"/>
    <w:rsid w:val="779A2A38"/>
    <w:rsid w:val="77B4450A"/>
    <w:rsid w:val="77B46E73"/>
    <w:rsid w:val="77E37A12"/>
    <w:rsid w:val="77FE3468"/>
    <w:rsid w:val="78250553"/>
    <w:rsid w:val="78546F0C"/>
    <w:rsid w:val="786778FE"/>
    <w:rsid w:val="78EE1C79"/>
    <w:rsid w:val="78F85605"/>
    <w:rsid w:val="78FA66FA"/>
    <w:rsid w:val="79424F6E"/>
    <w:rsid w:val="797239CC"/>
    <w:rsid w:val="79831473"/>
    <w:rsid w:val="79983E9C"/>
    <w:rsid w:val="7999527A"/>
    <w:rsid w:val="79AF76C5"/>
    <w:rsid w:val="79C25EE1"/>
    <w:rsid w:val="79CE2967"/>
    <w:rsid w:val="79E34934"/>
    <w:rsid w:val="79EA664C"/>
    <w:rsid w:val="79ED78AD"/>
    <w:rsid w:val="79F9627A"/>
    <w:rsid w:val="7A2F3BBF"/>
    <w:rsid w:val="7A2F459A"/>
    <w:rsid w:val="7A322A39"/>
    <w:rsid w:val="7A517022"/>
    <w:rsid w:val="7A6F5001"/>
    <w:rsid w:val="7A727E3B"/>
    <w:rsid w:val="7A9635B3"/>
    <w:rsid w:val="7AA2343E"/>
    <w:rsid w:val="7AD60EB8"/>
    <w:rsid w:val="7ADA73A4"/>
    <w:rsid w:val="7AE66B99"/>
    <w:rsid w:val="7AF34646"/>
    <w:rsid w:val="7AFE508C"/>
    <w:rsid w:val="7B0A3BCA"/>
    <w:rsid w:val="7B345AA9"/>
    <w:rsid w:val="7B4048C1"/>
    <w:rsid w:val="7B73082F"/>
    <w:rsid w:val="7B7B492E"/>
    <w:rsid w:val="7BB46FBD"/>
    <w:rsid w:val="7BBB2A32"/>
    <w:rsid w:val="7BC62E00"/>
    <w:rsid w:val="7BE35E2A"/>
    <w:rsid w:val="7BF66C24"/>
    <w:rsid w:val="7BFA1CC7"/>
    <w:rsid w:val="7BFB70B3"/>
    <w:rsid w:val="7BFE746A"/>
    <w:rsid w:val="7C0251DA"/>
    <w:rsid w:val="7C0E41D1"/>
    <w:rsid w:val="7C1052F2"/>
    <w:rsid w:val="7C2668D9"/>
    <w:rsid w:val="7C32497F"/>
    <w:rsid w:val="7C3C69AE"/>
    <w:rsid w:val="7C691974"/>
    <w:rsid w:val="7C8A6570"/>
    <w:rsid w:val="7C8B7390"/>
    <w:rsid w:val="7C9B0D0E"/>
    <w:rsid w:val="7CA42B03"/>
    <w:rsid w:val="7CD2318A"/>
    <w:rsid w:val="7CD2702A"/>
    <w:rsid w:val="7CD34C42"/>
    <w:rsid w:val="7CD46B29"/>
    <w:rsid w:val="7CDE3FF9"/>
    <w:rsid w:val="7CE26EBF"/>
    <w:rsid w:val="7CEE3130"/>
    <w:rsid w:val="7D1F6674"/>
    <w:rsid w:val="7D480B34"/>
    <w:rsid w:val="7D4D150C"/>
    <w:rsid w:val="7D777A3E"/>
    <w:rsid w:val="7D9005BC"/>
    <w:rsid w:val="7D9F0AD0"/>
    <w:rsid w:val="7DD12BB7"/>
    <w:rsid w:val="7DF223A2"/>
    <w:rsid w:val="7DFF0955"/>
    <w:rsid w:val="7E0B750E"/>
    <w:rsid w:val="7E1939E8"/>
    <w:rsid w:val="7E2400E7"/>
    <w:rsid w:val="7E2822EA"/>
    <w:rsid w:val="7E2A20CE"/>
    <w:rsid w:val="7E355A7B"/>
    <w:rsid w:val="7E455322"/>
    <w:rsid w:val="7E6E3E85"/>
    <w:rsid w:val="7E9C184B"/>
    <w:rsid w:val="7EA72948"/>
    <w:rsid w:val="7EB31EDB"/>
    <w:rsid w:val="7EE70CC0"/>
    <w:rsid w:val="7EEB48DB"/>
    <w:rsid w:val="7EF27444"/>
    <w:rsid w:val="7F185A04"/>
    <w:rsid w:val="7F265C58"/>
    <w:rsid w:val="7F4C4618"/>
    <w:rsid w:val="7F582CF2"/>
    <w:rsid w:val="7F951B40"/>
    <w:rsid w:val="7FA820A8"/>
    <w:rsid w:val="7FB90D50"/>
    <w:rsid w:val="7FBF10B0"/>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3"/>
    <w:autoRedefine/>
    <w:qFormat/>
    <w:uiPriority w:val="0"/>
    <w:pPr>
      <w:keepNext/>
      <w:keepLines/>
      <w:spacing w:before="340" w:after="330" w:line="576" w:lineRule="auto"/>
      <w:outlineLvl w:val="0"/>
    </w:pPr>
    <w:rPr>
      <w:b/>
      <w:bCs/>
      <w:kern w:val="44"/>
      <w:sz w:val="44"/>
      <w:szCs w:val="44"/>
    </w:rPr>
  </w:style>
  <w:style w:type="paragraph" w:styleId="5">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autoRedefine/>
    <w:qFormat/>
    <w:uiPriority w:val="0"/>
    <w:pPr>
      <w:keepNext/>
      <w:keepLines/>
      <w:spacing w:before="260" w:after="260" w:line="416" w:lineRule="auto"/>
      <w:outlineLvl w:val="2"/>
    </w:pPr>
    <w:rPr>
      <w:b/>
      <w:bCs/>
      <w:sz w:val="32"/>
      <w:szCs w:val="32"/>
    </w:rPr>
  </w:style>
  <w:style w:type="paragraph" w:styleId="7">
    <w:name w:val="heading 4"/>
    <w:basedOn w:val="1"/>
    <w:next w:val="1"/>
    <w:autoRedefine/>
    <w:qFormat/>
    <w:uiPriority w:val="0"/>
    <w:pPr>
      <w:keepNext/>
      <w:keepLines/>
      <w:spacing w:line="360" w:lineRule="auto"/>
      <w:outlineLvl w:val="3"/>
    </w:pPr>
    <w:rPr>
      <w:rFonts w:ascii="Arial" w:hAnsi="Arial"/>
      <w:b/>
      <w:bCs/>
      <w:szCs w:val="28"/>
    </w:rPr>
  </w:style>
  <w:style w:type="character" w:default="1" w:styleId="34">
    <w:name w:val="Default Paragraph Font"/>
    <w:autoRedefine/>
    <w:semiHidden/>
    <w:unhideWhenUsed/>
    <w:qFormat/>
    <w:uiPriority w:val="1"/>
  </w:style>
  <w:style w:type="table" w:default="1" w:styleId="32">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next w:val="4"/>
    <w:link w:val="73"/>
    <w:autoRedefine/>
    <w:qFormat/>
    <w:uiPriority w:val="0"/>
  </w:style>
  <w:style w:type="paragraph" w:styleId="4">
    <w:name w:val="Body Text 2"/>
    <w:basedOn w:val="1"/>
    <w:next w:val="3"/>
    <w:autoRedefine/>
    <w:qFormat/>
    <w:uiPriority w:val="0"/>
    <w:pPr>
      <w:spacing w:line="480" w:lineRule="auto"/>
    </w:pPr>
  </w:style>
  <w:style w:type="paragraph" w:styleId="8">
    <w:name w:val="List Number"/>
    <w:basedOn w:val="1"/>
    <w:autoRedefine/>
    <w:qFormat/>
    <w:uiPriority w:val="0"/>
    <w:pPr>
      <w:widowControl/>
      <w:spacing w:beforeAutospacing="1" w:afterAutospacing="1"/>
      <w:jc w:val="left"/>
    </w:pPr>
    <w:rPr>
      <w:rFonts w:ascii="宋体" w:hAnsi="宋体" w:cs="宋体"/>
      <w:kern w:val="0"/>
      <w:sz w:val="24"/>
    </w:rPr>
  </w:style>
  <w:style w:type="paragraph" w:styleId="9">
    <w:name w:val="Normal Indent"/>
    <w:basedOn w:val="1"/>
    <w:autoRedefine/>
    <w:qFormat/>
    <w:uiPriority w:val="0"/>
    <w:pPr>
      <w:widowControl/>
      <w:spacing w:beforeAutospacing="1" w:afterAutospacing="1"/>
      <w:jc w:val="left"/>
    </w:pPr>
    <w:rPr>
      <w:rFonts w:ascii="宋体" w:hAnsi="宋体" w:cs="宋体"/>
      <w:kern w:val="0"/>
      <w:sz w:val="24"/>
    </w:rPr>
  </w:style>
  <w:style w:type="paragraph" w:styleId="10">
    <w:name w:val="Document Map"/>
    <w:basedOn w:val="1"/>
    <w:link w:val="75"/>
    <w:autoRedefine/>
    <w:qFormat/>
    <w:uiPriority w:val="0"/>
    <w:rPr>
      <w:rFonts w:ascii="宋体" w:hAnsi="Calibri"/>
      <w:sz w:val="18"/>
      <w:szCs w:val="18"/>
    </w:rPr>
  </w:style>
  <w:style w:type="paragraph" w:styleId="11">
    <w:name w:val="annotation text"/>
    <w:basedOn w:val="1"/>
    <w:autoRedefine/>
    <w:qFormat/>
    <w:uiPriority w:val="0"/>
    <w:pPr>
      <w:jc w:val="left"/>
    </w:pPr>
  </w:style>
  <w:style w:type="paragraph" w:styleId="12">
    <w:name w:val="Body Text 3"/>
    <w:basedOn w:val="1"/>
    <w:autoRedefine/>
    <w:qFormat/>
    <w:uiPriority w:val="0"/>
    <w:rPr>
      <w:sz w:val="16"/>
      <w:szCs w:val="16"/>
    </w:rPr>
  </w:style>
  <w:style w:type="paragraph" w:styleId="13">
    <w:name w:val="Body Text Indent"/>
    <w:basedOn w:val="1"/>
    <w:next w:val="14"/>
    <w:autoRedefine/>
    <w:qFormat/>
    <w:uiPriority w:val="0"/>
    <w:pPr>
      <w:widowControl/>
      <w:spacing w:beforeAutospacing="1" w:afterAutospacing="1"/>
      <w:jc w:val="left"/>
    </w:pPr>
    <w:rPr>
      <w:rFonts w:ascii="宋体" w:hAnsi="宋体" w:cs="宋体"/>
      <w:kern w:val="0"/>
      <w:sz w:val="24"/>
    </w:rPr>
  </w:style>
  <w:style w:type="paragraph" w:customStyle="1" w:styleId="14">
    <w:name w:val="目录 51"/>
    <w:next w:val="1"/>
    <w:autoRedefine/>
    <w:qFormat/>
    <w:uiPriority w:val="0"/>
    <w:pPr>
      <w:wordWrap w:val="0"/>
      <w:ind w:left="1700"/>
      <w:jc w:val="both"/>
    </w:pPr>
    <w:rPr>
      <w:rFonts w:ascii="Calibri" w:hAnsi="Calibri" w:eastAsia="Calibri" w:cs="Times New Roman"/>
      <w:sz w:val="21"/>
      <w:lang w:val="en-US" w:eastAsia="zh-CN" w:bidi="ar-SA"/>
    </w:rPr>
  </w:style>
  <w:style w:type="paragraph" w:styleId="15">
    <w:name w:val="List 2"/>
    <w:basedOn w:val="1"/>
    <w:autoRedefine/>
    <w:qFormat/>
    <w:uiPriority w:val="0"/>
    <w:pPr>
      <w:ind w:left="100" w:leftChars="200" w:hanging="200" w:hangingChars="200"/>
    </w:pPr>
  </w:style>
  <w:style w:type="paragraph" w:styleId="16">
    <w:name w:val="Block Text"/>
    <w:basedOn w:val="1"/>
    <w:autoRedefine/>
    <w:unhideWhenUsed/>
    <w:qFormat/>
    <w:uiPriority w:val="99"/>
    <w:pPr>
      <w:snapToGrid w:val="0"/>
      <w:spacing w:before="100" w:after="100"/>
      <w:ind w:left="-22" w:leftChars="-8" w:right="-40" w:firstLine="548" w:firstLineChars="196"/>
    </w:pPr>
    <w:rPr>
      <w:rFonts w:ascii="宋体" w:hAnsi="宋体"/>
      <w:sz w:val="28"/>
    </w:rPr>
  </w:style>
  <w:style w:type="paragraph" w:styleId="17">
    <w:name w:val="toc 3"/>
    <w:basedOn w:val="1"/>
    <w:next w:val="1"/>
    <w:autoRedefine/>
    <w:qFormat/>
    <w:uiPriority w:val="0"/>
    <w:pPr>
      <w:tabs>
        <w:tab w:val="left" w:pos="709"/>
        <w:tab w:val="right" w:leader="dot" w:pos="8789"/>
      </w:tabs>
      <w:spacing w:line="400" w:lineRule="atLeast"/>
    </w:pPr>
    <w:rPr>
      <w:rFonts w:ascii="宋体"/>
      <w:kern w:val="0"/>
      <w:szCs w:val="20"/>
    </w:rPr>
  </w:style>
  <w:style w:type="paragraph" w:styleId="18">
    <w:name w:val="Plain Text"/>
    <w:basedOn w:val="1"/>
    <w:autoRedefine/>
    <w:qFormat/>
    <w:uiPriority w:val="0"/>
    <w:pPr>
      <w:widowControl/>
      <w:spacing w:beforeAutospacing="1" w:afterAutospacing="1"/>
      <w:jc w:val="left"/>
    </w:pPr>
    <w:rPr>
      <w:rFonts w:ascii="宋体" w:hAnsi="宋体" w:cs="宋体"/>
      <w:kern w:val="0"/>
      <w:sz w:val="24"/>
    </w:rPr>
  </w:style>
  <w:style w:type="paragraph" w:styleId="19">
    <w:name w:val="Date"/>
    <w:basedOn w:val="1"/>
    <w:next w:val="1"/>
    <w:autoRedefine/>
    <w:qFormat/>
    <w:uiPriority w:val="0"/>
    <w:pPr>
      <w:ind w:left="100" w:leftChars="2500"/>
    </w:pPr>
    <w:rPr>
      <w:rFonts w:ascii="宋体" w:hAnsi="宋体"/>
      <w:sz w:val="28"/>
    </w:rPr>
  </w:style>
  <w:style w:type="paragraph" w:styleId="20">
    <w:name w:val="Body Text Indent 2"/>
    <w:basedOn w:val="1"/>
    <w:autoRedefine/>
    <w:qFormat/>
    <w:uiPriority w:val="0"/>
    <w:pPr>
      <w:spacing w:line="480" w:lineRule="auto"/>
      <w:ind w:left="420" w:leftChars="200"/>
    </w:pPr>
  </w:style>
  <w:style w:type="paragraph" w:styleId="21">
    <w:name w:val="footer"/>
    <w:basedOn w:val="1"/>
    <w:autoRedefine/>
    <w:qFormat/>
    <w:uiPriority w:val="0"/>
    <w:pPr>
      <w:tabs>
        <w:tab w:val="center" w:pos="4153"/>
        <w:tab w:val="right" w:pos="8306"/>
      </w:tabs>
      <w:snapToGrid w:val="0"/>
      <w:jc w:val="left"/>
    </w:pPr>
    <w:rPr>
      <w:sz w:val="18"/>
      <w:szCs w:val="18"/>
    </w:rPr>
  </w:style>
  <w:style w:type="paragraph" w:styleId="22">
    <w:name w:val="envelope return"/>
    <w:basedOn w:val="1"/>
    <w:autoRedefine/>
    <w:unhideWhenUsed/>
    <w:qFormat/>
    <w:uiPriority w:val="99"/>
    <w:pPr>
      <w:snapToGrid w:val="0"/>
    </w:pPr>
    <w:rPr>
      <w:rFonts w:ascii="Arial" w:hAnsi="Arial"/>
    </w:rPr>
  </w:style>
  <w:style w:type="paragraph" w:styleId="23">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24">
    <w:name w:val="toc 1"/>
    <w:basedOn w:val="1"/>
    <w:next w:val="1"/>
    <w:autoRedefine/>
    <w:qFormat/>
    <w:uiPriority w:val="0"/>
  </w:style>
  <w:style w:type="paragraph" w:styleId="25">
    <w:name w:val="List"/>
    <w:basedOn w:val="1"/>
    <w:autoRedefine/>
    <w:qFormat/>
    <w:uiPriority w:val="0"/>
    <w:pPr>
      <w:ind w:left="200" w:hanging="200" w:hangingChars="200"/>
    </w:pPr>
  </w:style>
  <w:style w:type="paragraph" w:styleId="26">
    <w:name w:val="Message Header"/>
    <w:basedOn w:val="1"/>
    <w:autoRedefine/>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27">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28">
    <w:name w:val="Normal (Web)"/>
    <w:basedOn w:val="1"/>
    <w:autoRedefine/>
    <w:qFormat/>
    <w:uiPriority w:val="99"/>
    <w:pPr>
      <w:spacing w:before="100" w:beforeAutospacing="1" w:after="100" w:afterAutospacing="1"/>
      <w:jc w:val="left"/>
    </w:pPr>
    <w:rPr>
      <w:kern w:val="0"/>
      <w:sz w:val="24"/>
    </w:rPr>
  </w:style>
  <w:style w:type="paragraph" w:styleId="29">
    <w:name w:val="Title"/>
    <w:basedOn w:val="1"/>
    <w:autoRedefine/>
    <w:qFormat/>
    <w:uiPriority w:val="0"/>
    <w:pPr>
      <w:jc w:val="center"/>
      <w:outlineLvl w:val="0"/>
    </w:pPr>
    <w:rPr>
      <w:rFonts w:ascii="Arial" w:hAnsi="Arial" w:cs="Arial"/>
      <w:b/>
      <w:bCs/>
      <w:sz w:val="32"/>
      <w:szCs w:val="32"/>
    </w:rPr>
  </w:style>
  <w:style w:type="paragraph" w:styleId="30">
    <w:name w:val="Body Text First Indent"/>
    <w:basedOn w:val="3"/>
    <w:next w:val="31"/>
    <w:autoRedefine/>
    <w:qFormat/>
    <w:uiPriority w:val="0"/>
    <w:pPr>
      <w:spacing w:line="360" w:lineRule="auto"/>
      <w:ind w:firstLine="420" w:firstLineChars="100"/>
    </w:pPr>
    <w:rPr>
      <w:szCs w:val="21"/>
    </w:rPr>
  </w:style>
  <w:style w:type="paragraph" w:styleId="31">
    <w:name w:val="Body Text First Indent 2"/>
    <w:basedOn w:val="13"/>
    <w:next w:val="1"/>
    <w:autoRedefine/>
    <w:qFormat/>
    <w:uiPriority w:val="0"/>
    <w:pPr>
      <w:ind w:firstLine="420" w:firstLineChars="200"/>
    </w:pPr>
  </w:style>
  <w:style w:type="table" w:styleId="33">
    <w:name w:val="Table Grid"/>
    <w:basedOn w:val="32"/>
    <w:autoRedefine/>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5">
    <w:name w:val="Strong"/>
    <w:autoRedefine/>
    <w:qFormat/>
    <w:uiPriority w:val="0"/>
    <w:rPr>
      <w:b/>
      <w:bCs/>
      <w:szCs w:val="24"/>
    </w:rPr>
  </w:style>
  <w:style w:type="character" w:styleId="36">
    <w:name w:val="page number"/>
    <w:basedOn w:val="34"/>
    <w:autoRedefine/>
    <w:qFormat/>
    <w:uiPriority w:val="0"/>
  </w:style>
  <w:style w:type="character" w:styleId="37">
    <w:name w:val="FollowedHyperlink"/>
    <w:autoRedefine/>
    <w:qFormat/>
    <w:uiPriority w:val="0"/>
    <w:rPr>
      <w:color w:val="333333"/>
      <w:szCs w:val="24"/>
      <w:u w:val="none"/>
    </w:rPr>
  </w:style>
  <w:style w:type="character" w:styleId="38">
    <w:name w:val="Emphasis"/>
    <w:basedOn w:val="34"/>
    <w:autoRedefine/>
    <w:qFormat/>
    <w:uiPriority w:val="0"/>
  </w:style>
  <w:style w:type="character" w:styleId="39">
    <w:name w:val="HTML Definition"/>
    <w:basedOn w:val="34"/>
    <w:autoRedefine/>
    <w:qFormat/>
    <w:uiPriority w:val="0"/>
  </w:style>
  <w:style w:type="character" w:styleId="40">
    <w:name w:val="HTML Typewriter"/>
    <w:basedOn w:val="34"/>
    <w:autoRedefine/>
    <w:qFormat/>
    <w:uiPriority w:val="0"/>
    <w:rPr>
      <w:rFonts w:hint="default" w:ascii="monospace" w:hAnsi="monospace" w:eastAsia="monospace" w:cs="monospace"/>
      <w:sz w:val="20"/>
    </w:rPr>
  </w:style>
  <w:style w:type="character" w:styleId="41">
    <w:name w:val="HTML Acronym"/>
    <w:basedOn w:val="34"/>
    <w:autoRedefine/>
    <w:qFormat/>
    <w:uiPriority w:val="0"/>
  </w:style>
  <w:style w:type="character" w:styleId="42">
    <w:name w:val="HTML Variable"/>
    <w:basedOn w:val="34"/>
    <w:autoRedefine/>
    <w:qFormat/>
    <w:uiPriority w:val="0"/>
  </w:style>
  <w:style w:type="character" w:styleId="43">
    <w:name w:val="Hyperlink"/>
    <w:basedOn w:val="34"/>
    <w:autoRedefine/>
    <w:qFormat/>
    <w:uiPriority w:val="0"/>
    <w:rPr>
      <w:color w:val="333333"/>
      <w:szCs w:val="24"/>
      <w:u w:val="none"/>
    </w:rPr>
  </w:style>
  <w:style w:type="character" w:styleId="44">
    <w:name w:val="HTML Code"/>
    <w:basedOn w:val="34"/>
    <w:autoRedefine/>
    <w:qFormat/>
    <w:uiPriority w:val="0"/>
    <w:rPr>
      <w:rFonts w:ascii="monospace" w:hAnsi="monospace" w:eastAsia="monospace" w:cs="monospace"/>
      <w:sz w:val="20"/>
    </w:rPr>
  </w:style>
  <w:style w:type="character" w:styleId="45">
    <w:name w:val="HTML Cite"/>
    <w:basedOn w:val="34"/>
    <w:autoRedefine/>
    <w:qFormat/>
    <w:uiPriority w:val="0"/>
  </w:style>
  <w:style w:type="character" w:styleId="46">
    <w:name w:val="HTML Keyboard"/>
    <w:basedOn w:val="34"/>
    <w:autoRedefine/>
    <w:qFormat/>
    <w:uiPriority w:val="0"/>
    <w:rPr>
      <w:rFonts w:hint="default" w:ascii="monospace" w:hAnsi="monospace" w:eastAsia="monospace" w:cs="monospace"/>
      <w:sz w:val="20"/>
    </w:rPr>
  </w:style>
  <w:style w:type="character" w:styleId="47">
    <w:name w:val="HTML Sample"/>
    <w:basedOn w:val="34"/>
    <w:autoRedefine/>
    <w:qFormat/>
    <w:uiPriority w:val="0"/>
    <w:rPr>
      <w:rFonts w:hint="default" w:ascii="monospace" w:hAnsi="monospace" w:eastAsia="monospace" w:cs="monospace"/>
    </w:rPr>
  </w:style>
  <w:style w:type="paragraph" w:customStyle="1" w:styleId="48">
    <w:name w:val="Default"/>
    <w:next w:val="1"/>
    <w:autoRedefine/>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49">
    <w:name w:val="样式 正文首行缩进 2 + Arial"/>
    <w:basedOn w:val="1"/>
    <w:next w:val="1"/>
    <w:autoRedefine/>
    <w:qFormat/>
    <w:uiPriority w:val="0"/>
    <w:pPr>
      <w:spacing w:after="120" w:line="320" w:lineRule="atLeast"/>
      <w:ind w:firstLine="200" w:firstLineChars="200"/>
    </w:pPr>
    <w:rPr>
      <w:rFonts w:ascii="Arial" w:hAnsi="Arial"/>
      <w:kern w:val="0"/>
    </w:rPr>
  </w:style>
  <w:style w:type="paragraph" w:customStyle="1" w:styleId="50">
    <w:name w:val="No Spacing1"/>
    <w:basedOn w:val="1"/>
    <w:autoRedefine/>
    <w:qFormat/>
    <w:uiPriority w:val="0"/>
    <w:pPr>
      <w:spacing w:line="400" w:lineRule="exact"/>
    </w:pPr>
    <w:rPr>
      <w:sz w:val="24"/>
    </w:rPr>
  </w:style>
  <w:style w:type="paragraph" w:customStyle="1" w:styleId="51">
    <w:name w:val="大标题"/>
    <w:basedOn w:val="1"/>
    <w:next w:val="31"/>
    <w:autoRedefine/>
    <w:qFormat/>
    <w:uiPriority w:val="0"/>
    <w:pPr>
      <w:jc w:val="center"/>
    </w:pPr>
    <w:rPr>
      <w:rFonts w:ascii="Arial" w:hAnsi="Arial"/>
      <w:b/>
      <w:sz w:val="28"/>
    </w:rPr>
  </w:style>
  <w:style w:type="paragraph" w:customStyle="1" w:styleId="52">
    <w:name w:val="样式 首行缩进:  2 字符"/>
    <w:basedOn w:val="1"/>
    <w:autoRedefine/>
    <w:qFormat/>
    <w:uiPriority w:val="0"/>
    <w:pPr>
      <w:spacing w:line="360" w:lineRule="auto"/>
      <w:ind w:firstLine="480" w:firstLineChars="200"/>
      <w:jc w:val="left"/>
    </w:pPr>
    <w:rPr>
      <w:rFonts w:ascii="宋体" w:hAnsi="宋体" w:cs="宋体"/>
      <w:color w:val="000000"/>
      <w:sz w:val="24"/>
      <w:szCs w:val="20"/>
    </w:rPr>
  </w:style>
  <w:style w:type="paragraph" w:customStyle="1" w:styleId="53">
    <w:name w:val="Char"/>
    <w:basedOn w:val="1"/>
    <w:autoRedefine/>
    <w:qFormat/>
    <w:uiPriority w:val="0"/>
  </w:style>
  <w:style w:type="paragraph" w:customStyle="1" w:styleId="54">
    <w:name w:val="正文缩进1"/>
    <w:basedOn w:val="1"/>
    <w:autoRedefine/>
    <w:qFormat/>
    <w:uiPriority w:val="0"/>
    <w:pPr>
      <w:widowControl/>
      <w:ind w:firstLine="420"/>
      <w:jc w:val="left"/>
    </w:pPr>
    <w:rPr>
      <w:kern w:val="0"/>
      <w:szCs w:val="20"/>
    </w:rPr>
  </w:style>
  <w:style w:type="paragraph" w:customStyle="1" w:styleId="55">
    <w:name w:val="列出段落2"/>
    <w:basedOn w:val="1"/>
    <w:autoRedefine/>
    <w:qFormat/>
    <w:uiPriority w:val="34"/>
    <w:pPr>
      <w:ind w:firstLine="420" w:firstLineChars="200"/>
    </w:pPr>
  </w:style>
  <w:style w:type="paragraph" w:customStyle="1" w:styleId="56">
    <w:name w:val="plaintext"/>
    <w:basedOn w:val="1"/>
    <w:autoRedefine/>
    <w:qFormat/>
    <w:uiPriority w:val="0"/>
    <w:pPr>
      <w:widowControl/>
      <w:spacing w:beforeAutospacing="1" w:afterAutospacing="1"/>
      <w:jc w:val="left"/>
    </w:pPr>
    <w:rPr>
      <w:rFonts w:ascii="宋体" w:hAnsi="宋体" w:cs="宋体"/>
      <w:kern w:val="0"/>
      <w:sz w:val="24"/>
    </w:rPr>
  </w:style>
  <w:style w:type="paragraph" w:customStyle="1" w:styleId="57">
    <w:name w:val="1"/>
    <w:basedOn w:val="1"/>
    <w:autoRedefine/>
    <w:qFormat/>
    <w:uiPriority w:val="0"/>
    <w:pPr>
      <w:widowControl/>
      <w:spacing w:beforeAutospacing="1" w:afterAutospacing="1"/>
      <w:jc w:val="left"/>
    </w:pPr>
    <w:rPr>
      <w:rFonts w:ascii="宋体" w:hAnsi="宋体" w:cs="宋体"/>
      <w:kern w:val="0"/>
      <w:sz w:val="24"/>
    </w:rPr>
  </w:style>
  <w:style w:type="paragraph" w:styleId="58">
    <w:name w:val="No Spacing"/>
    <w:autoRedefine/>
    <w:qFormat/>
    <w:uiPriority w:val="1"/>
    <w:rPr>
      <w:rFonts w:ascii="Calibri" w:hAnsi="Calibri" w:eastAsia="宋体" w:cs="Times New Roman"/>
      <w:sz w:val="22"/>
      <w:szCs w:val="22"/>
      <w:lang w:val="en-US" w:eastAsia="zh-CN" w:bidi="ar-SA"/>
    </w:rPr>
  </w:style>
  <w:style w:type="paragraph" w:customStyle="1" w:styleId="59">
    <w:name w:val="_Style 2"/>
    <w:basedOn w:val="1"/>
    <w:autoRedefine/>
    <w:qFormat/>
    <w:uiPriority w:val="34"/>
    <w:pPr>
      <w:ind w:firstLine="420" w:firstLineChars="200"/>
    </w:pPr>
    <w:rPr>
      <w:rFonts w:ascii="Calibri" w:hAnsi="Calibri"/>
    </w:rPr>
  </w:style>
  <w:style w:type="paragraph" w:customStyle="1" w:styleId="60">
    <w:name w:val="paracharcharcharcharcharcharcharcharchar1charcharcharchar"/>
    <w:basedOn w:val="1"/>
    <w:autoRedefine/>
    <w:qFormat/>
    <w:uiPriority w:val="0"/>
    <w:pPr>
      <w:widowControl/>
      <w:spacing w:beforeAutospacing="1" w:afterAutospacing="1"/>
      <w:jc w:val="left"/>
    </w:pPr>
    <w:rPr>
      <w:rFonts w:ascii="宋体" w:hAnsi="宋体" w:cs="宋体"/>
      <w:kern w:val="0"/>
      <w:sz w:val="24"/>
    </w:rPr>
  </w:style>
  <w:style w:type="paragraph" w:customStyle="1" w:styleId="61">
    <w:name w:val="样式2"/>
    <w:basedOn w:val="1"/>
    <w:next w:val="1"/>
    <w:autoRedefine/>
    <w:qFormat/>
    <w:uiPriority w:val="0"/>
    <w:pPr>
      <w:spacing w:line="360" w:lineRule="exact"/>
      <w:ind w:left="-107" w:leftChars="-51" w:right="-108" w:firstLine="98" w:firstLineChars="41"/>
      <w:jc w:val="left"/>
    </w:pPr>
    <w:rPr>
      <w:rFonts w:ascii="宋体" w:hAnsi="宋体"/>
    </w:rPr>
  </w:style>
  <w:style w:type="paragraph" w:customStyle="1" w:styleId="62">
    <w:name w:val="Char1"/>
    <w:basedOn w:val="1"/>
    <w:autoRedefine/>
    <w:qFormat/>
    <w:uiPriority w:val="0"/>
  </w:style>
  <w:style w:type="paragraph" w:customStyle="1" w:styleId="63">
    <w:name w:val="p16"/>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64">
    <w:name w:val="Table Paragraph"/>
    <w:basedOn w:val="1"/>
    <w:autoRedefine/>
    <w:qFormat/>
    <w:uiPriority w:val="1"/>
    <w:pPr>
      <w:jc w:val="left"/>
    </w:pPr>
    <w:rPr>
      <w:rFonts w:ascii="宋体" w:hAnsi="宋体" w:cs="宋体"/>
      <w:kern w:val="0"/>
      <w:sz w:val="22"/>
      <w:szCs w:val="22"/>
      <w:lang w:eastAsia="en-US"/>
    </w:rPr>
  </w:style>
  <w:style w:type="paragraph" w:customStyle="1" w:styleId="65">
    <w:name w:val="无间隔1"/>
    <w:basedOn w:val="1"/>
    <w:autoRedefine/>
    <w:qFormat/>
    <w:uiPriority w:val="1"/>
    <w:pPr>
      <w:spacing w:line="400" w:lineRule="exact"/>
    </w:pPr>
    <w:rPr>
      <w:sz w:val="24"/>
    </w:rPr>
  </w:style>
  <w:style w:type="paragraph" w:customStyle="1" w:styleId="66">
    <w:name w:val="正文格式"/>
    <w:autoRedefine/>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7">
    <w:name w:val="3"/>
    <w:basedOn w:val="1"/>
    <w:autoRedefine/>
    <w:qFormat/>
    <w:uiPriority w:val="0"/>
    <w:pPr>
      <w:widowControl/>
      <w:spacing w:beforeAutospacing="1" w:afterAutospacing="1"/>
      <w:jc w:val="left"/>
    </w:pPr>
    <w:rPr>
      <w:rFonts w:ascii="宋体" w:hAnsi="宋体" w:cs="宋体"/>
      <w:kern w:val="0"/>
      <w:sz w:val="24"/>
    </w:rPr>
  </w:style>
  <w:style w:type="paragraph" w:customStyle="1" w:styleId="68">
    <w:name w:val="列出段落1"/>
    <w:basedOn w:val="1"/>
    <w:autoRedefine/>
    <w:qFormat/>
    <w:uiPriority w:val="34"/>
    <w:pPr>
      <w:ind w:firstLine="420" w:firstLineChars="200"/>
    </w:pPr>
  </w:style>
  <w:style w:type="paragraph" w:customStyle="1" w:styleId="69">
    <w:name w:val="列出段落111"/>
    <w:autoRedefine/>
    <w:qFormat/>
    <w:uiPriority w:val="34"/>
    <w:pPr>
      <w:ind w:firstLine="420" w:firstLineChars="200"/>
    </w:pPr>
    <w:rPr>
      <w:rFonts w:ascii="Times New Roman" w:hAnsi="Times New Roman" w:eastAsia="宋体" w:cs="Times New Roman"/>
      <w:lang w:val="en-US" w:eastAsia="zh-CN" w:bidi="ar-SA"/>
    </w:rPr>
  </w:style>
  <w:style w:type="paragraph" w:customStyle="1" w:styleId="70">
    <w:name w:val="a0"/>
    <w:basedOn w:val="1"/>
    <w:autoRedefine/>
    <w:qFormat/>
    <w:uiPriority w:val="0"/>
    <w:pPr>
      <w:widowControl/>
      <w:spacing w:beforeAutospacing="1" w:afterAutospacing="1"/>
      <w:jc w:val="left"/>
    </w:pPr>
    <w:rPr>
      <w:rFonts w:ascii="宋体" w:hAnsi="宋体" w:cs="宋体"/>
      <w:kern w:val="0"/>
      <w:sz w:val="24"/>
    </w:rPr>
  </w:style>
  <w:style w:type="paragraph" w:customStyle="1" w:styleId="71">
    <w:name w:val="default"/>
    <w:basedOn w:val="1"/>
    <w:autoRedefine/>
    <w:qFormat/>
    <w:uiPriority w:val="0"/>
    <w:pPr>
      <w:widowControl/>
      <w:spacing w:beforeAutospacing="1" w:afterAutospacing="1"/>
      <w:jc w:val="left"/>
    </w:pPr>
    <w:rPr>
      <w:rFonts w:ascii="宋体" w:hAnsi="宋体" w:cs="宋体"/>
      <w:kern w:val="0"/>
      <w:sz w:val="24"/>
    </w:rPr>
  </w:style>
  <w:style w:type="paragraph" w:customStyle="1" w:styleId="72">
    <w:name w:val="列出段落11"/>
    <w:basedOn w:val="1"/>
    <w:autoRedefine/>
    <w:qFormat/>
    <w:uiPriority w:val="0"/>
    <w:pPr>
      <w:ind w:firstLine="420" w:firstLineChars="200"/>
    </w:pPr>
    <w:rPr>
      <w:rFonts w:ascii="Calibri" w:hAnsi="Calibri"/>
      <w:szCs w:val="22"/>
    </w:rPr>
  </w:style>
  <w:style w:type="character" w:customStyle="1" w:styleId="73">
    <w:name w:val="正文文本 Char"/>
    <w:basedOn w:val="34"/>
    <w:link w:val="3"/>
    <w:autoRedefine/>
    <w:qFormat/>
    <w:uiPriority w:val="0"/>
  </w:style>
  <w:style w:type="character" w:customStyle="1" w:styleId="74">
    <w:name w:val="apple-converted-space"/>
    <w:basedOn w:val="34"/>
    <w:autoRedefine/>
    <w:qFormat/>
    <w:uiPriority w:val="0"/>
  </w:style>
  <w:style w:type="character" w:customStyle="1" w:styleId="75">
    <w:name w:val="文档结构图 Char"/>
    <w:link w:val="10"/>
    <w:autoRedefine/>
    <w:qFormat/>
    <w:uiPriority w:val="0"/>
    <w:rPr>
      <w:rFonts w:ascii="宋体"/>
      <w:kern w:val="2"/>
      <w:sz w:val="18"/>
      <w:szCs w:val="18"/>
    </w:rPr>
  </w:style>
  <w:style w:type="character" w:customStyle="1" w:styleId="76">
    <w:name w:val="不明显强调1"/>
    <w:autoRedefine/>
    <w:qFormat/>
    <w:uiPriority w:val="19"/>
    <w:rPr>
      <w:i/>
      <w:iCs/>
      <w:color w:val="7F7F7F"/>
      <w:szCs w:val="24"/>
    </w:rPr>
  </w:style>
  <w:style w:type="character" w:customStyle="1" w:styleId="77">
    <w:name w:val="font71"/>
    <w:autoRedefine/>
    <w:qFormat/>
    <w:uiPriority w:val="0"/>
    <w:rPr>
      <w:rFonts w:hint="eastAsia" w:ascii="宋体" w:hAnsi="宋体" w:eastAsia="宋体" w:cs="宋体"/>
      <w:color w:val="000000"/>
      <w:sz w:val="28"/>
      <w:szCs w:val="28"/>
      <w:u w:val="none"/>
    </w:rPr>
  </w:style>
  <w:style w:type="character" w:customStyle="1" w:styleId="78">
    <w:name w:val="font21"/>
    <w:basedOn w:val="34"/>
    <w:autoRedefine/>
    <w:qFormat/>
    <w:uiPriority w:val="0"/>
    <w:rPr>
      <w:rFonts w:hint="default" w:ascii="Calibri" w:hAnsi="Calibri" w:cs="Calibri"/>
      <w:color w:val="000000"/>
      <w:sz w:val="28"/>
      <w:szCs w:val="28"/>
      <w:u w:val="none"/>
    </w:rPr>
  </w:style>
  <w:style w:type="character" w:customStyle="1" w:styleId="79">
    <w:name w:val="17"/>
    <w:autoRedefine/>
    <w:qFormat/>
    <w:uiPriority w:val="0"/>
    <w:rPr>
      <w:rFonts w:hint="eastAsia" w:ascii="宋体" w:hAnsi="宋体" w:eastAsia="宋体"/>
      <w:color w:val="000000"/>
    </w:rPr>
  </w:style>
  <w:style w:type="character" w:customStyle="1" w:styleId="80">
    <w:name w:val="font91"/>
    <w:autoRedefine/>
    <w:qFormat/>
    <w:uiPriority w:val="0"/>
    <w:rPr>
      <w:rFonts w:hint="eastAsia" w:ascii="宋体" w:hAnsi="宋体" w:eastAsia="宋体" w:cs="宋体"/>
      <w:color w:val="FF0000"/>
      <w:sz w:val="28"/>
      <w:szCs w:val="28"/>
      <w:u w:val="none"/>
    </w:rPr>
  </w:style>
  <w:style w:type="paragraph" w:customStyle="1" w:styleId="81">
    <w:name w:val="p"/>
    <w:basedOn w:val="1"/>
    <w:autoRedefine/>
    <w:qFormat/>
    <w:uiPriority w:val="0"/>
    <w:pPr>
      <w:widowControl/>
      <w:spacing w:line="432" w:lineRule="auto"/>
      <w:jc w:val="left"/>
    </w:pPr>
    <w:rPr>
      <w:rFonts w:ascii="宋体" w:hAnsi="宋体" w:cs="宋体"/>
      <w:kern w:val="0"/>
      <w:sz w:val="24"/>
    </w:rPr>
  </w:style>
  <w:style w:type="paragraph" w:customStyle="1" w:styleId="82">
    <w:name w:val="WPSOffice手动目录 1"/>
    <w:autoRedefine/>
    <w:qFormat/>
    <w:uiPriority w:val="0"/>
    <w:rPr>
      <w:rFonts w:ascii="Times New Roman" w:hAnsi="Times New Roman" w:eastAsia="宋体" w:cs="Times New Roman"/>
      <w:lang w:val="en-US" w:eastAsia="zh-CN" w:bidi="ar-SA"/>
    </w:rPr>
  </w:style>
  <w:style w:type="paragraph" w:customStyle="1" w:styleId="83">
    <w:name w:val="*正文_1"/>
    <w:basedOn w:val="1"/>
    <w:next w:val="1"/>
    <w:autoRedefine/>
    <w:qFormat/>
    <w:uiPriority w:val="0"/>
    <w:pPr>
      <w:widowControl/>
      <w:ind w:firstLine="482"/>
    </w:pPr>
    <w:rPr>
      <w:rFonts w:ascii="微软雅黑" w:hAnsi="微软雅黑" w:eastAsia="微软雅黑"/>
      <w:kern w:val="0"/>
      <w:szCs w:val="20"/>
    </w:rPr>
  </w:style>
  <w:style w:type="paragraph" w:customStyle="1" w:styleId="84">
    <w:name w:val="表格文字"/>
    <w:basedOn w:val="1"/>
    <w:next w:val="3"/>
    <w:autoRedefine/>
    <w:qFormat/>
    <w:uiPriority w:val="0"/>
    <w:pPr>
      <w:adjustRightInd w:val="0"/>
      <w:spacing w:line="420" w:lineRule="atLeast"/>
      <w:jc w:val="left"/>
      <w:textAlignment w:val="baseline"/>
    </w:pPr>
    <w:rPr>
      <w:kern w:val="0"/>
      <w:szCs w:val="20"/>
    </w:rPr>
  </w:style>
  <w:style w:type="character" w:customStyle="1" w:styleId="85">
    <w:name w:val="NormalCharacter"/>
    <w:autoRedefine/>
    <w:semiHidden/>
    <w:qFormat/>
    <w:uiPriority w:val="0"/>
    <w:rPr>
      <w:rFonts w:ascii="Times New Roman" w:hAnsi="Times New Roman" w:eastAsia="宋体" w:cs="Times New Roman"/>
      <w:kern w:val="2"/>
      <w:sz w:val="21"/>
      <w:szCs w:val="24"/>
      <w:lang w:val="en-US" w:eastAsia="zh-CN" w:bidi="ar-SA"/>
    </w:rPr>
  </w:style>
  <w:style w:type="paragraph" w:customStyle="1" w:styleId="86">
    <w:name w:val="列表段落1"/>
    <w:basedOn w:val="1"/>
    <w:autoRedefine/>
    <w:qFormat/>
    <w:uiPriority w:val="34"/>
    <w:pPr>
      <w:widowControl/>
      <w:ind w:firstLine="420"/>
      <w:jc w:val="left"/>
    </w:pPr>
    <w:rPr>
      <w:kern w:val="0"/>
    </w:rPr>
  </w:style>
  <w:style w:type="paragraph" w:styleId="87">
    <w:name w:val="List Paragraph"/>
    <w:basedOn w:val="1"/>
    <w:autoRedefine/>
    <w:qFormat/>
    <w:uiPriority w:val="34"/>
    <w:pPr>
      <w:ind w:firstLine="420" w:firstLineChars="200"/>
    </w:pPr>
  </w:style>
  <w:style w:type="character" w:customStyle="1" w:styleId="88">
    <w:name w:val="hover18"/>
    <w:basedOn w:val="34"/>
    <w:autoRedefine/>
    <w:qFormat/>
    <w:uiPriority w:val="0"/>
  </w:style>
  <w:style w:type="table" w:customStyle="1" w:styleId="89">
    <w:name w:val="Table Normal"/>
    <w:autoRedefine/>
    <w:qFormat/>
    <w:uiPriority w:val="0"/>
    <w:tblPr>
      <w:tblCellMar>
        <w:top w:w="0" w:type="dxa"/>
        <w:left w:w="0" w:type="dxa"/>
        <w:bottom w:w="0" w:type="dxa"/>
        <w:right w:w="0" w:type="dxa"/>
      </w:tblCellMar>
    </w:tblPr>
  </w:style>
  <w:style w:type="paragraph" w:customStyle="1" w:styleId="90">
    <w:name w:val="Table Text"/>
    <w:basedOn w:val="1"/>
    <w:autoRedefine/>
    <w:semiHidden/>
    <w:qFormat/>
    <w:uiPriority w:val="0"/>
    <w:rPr>
      <w:rFonts w:ascii="宋体" w:hAnsi="宋体" w:eastAsia="宋体" w:cs="宋体"/>
      <w:sz w:val="45"/>
      <w:szCs w:val="45"/>
      <w:lang w:val="en-US" w:eastAsia="en-US" w:bidi="ar-SA"/>
    </w:rPr>
  </w:style>
  <w:style w:type="table" w:customStyle="1" w:styleId="91">
    <w:name w:val="网格型1"/>
    <w:basedOn w:val="92"/>
    <w:autoRedefine/>
    <w:qFormat/>
    <w:uiPriority w:val="0"/>
    <w:pPr>
      <w:widowControl w:val="0"/>
      <w:jc w:val="both"/>
    </w:pPr>
  </w:style>
  <w:style w:type="table" w:customStyle="1" w:styleId="92">
    <w:name w:val="普通表格1"/>
    <w:autoRedefine/>
    <w:semiHidden/>
    <w:qFormat/>
    <w:uiPriority w:val="0"/>
  </w:style>
  <w:style w:type="character" w:customStyle="1" w:styleId="93">
    <w:name w:val="font11"/>
    <w:basedOn w:val="34"/>
    <w:autoRedefine/>
    <w:qFormat/>
    <w:uiPriority w:val="0"/>
    <w:rPr>
      <w:rFonts w:hint="eastAsia" w:ascii="宋体" w:hAnsi="宋体" w:eastAsia="宋体" w:cs="宋体"/>
      <w:color w:val="000000"/>
      <w:sz w:val="24"/>
      <w:szCs w:val="24"/>
      <w:u w:val="none"/>
    </w:rPr>
  </w:style>
  <w:style w:type="character" w:customStyle="1" w:styleId="94">
    <w:name w:val="font31"/>
    <w:basedOn w:val="34"/>
    <w:autoRedefine/>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C39694-E2D4-4EC7-B4CE-52C55243A652}">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32</Pages>
  <Words>15109</Words>
  <Characters>15946</Characters>
  <Lines>50</Lines>
  <Paragraphs>68</Paragraphs>
  <TotalTime>1</TotalTime>
  <ScaleCrop>false</ScaleCrop>
  <LinksUpToDate>false</LinksUpToDate>
  <CharactersWithSpaces>16966</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陈壹</cp:lastModifiedBy>
  <cp:lastPrinted>2021-09-30T00:46:00Z</cp:lastPrinted>
  <dcterms:modified xsi:type="dcterms:W3CDTF">2024-08-21T01:14:47Z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6B4FDCA957CB4E82998C2E32247B97ED_13</vt:lpwstr>
  </property>
</Properties>
</file>